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ind w:firstLine="562"/>
        <w:rPr>
          <w:rFonts w:hint="eastAsia" w:ascii="宋体" w:hAnsi="宋体" w:cs="宋体"/>
          <w:b/>
          <w:bCs/>
          <w:color w:val="000000"/>
          <w:sz w:val="28"/>
          <w:szCs w:val="28"/>
        </w:rPr>
      </w:pPr>
      <w:r>
        <w:rPr>
          <w:rFonts w:hint="eastAsia" w:ascii="宋体" w:hAnsi="宋体" w:eastAsia="华文新魏" w:cs="宋体"/>
          <w:b/>
          <w:bCs/>
          <w:color w:val="000000"/>
          <w:sz w:val="28"/>
          <w:szCs w:val="28"/>
        </w:rPr>
      </w:r>
      <w:r>
        <w:rPr>
          <w:rFonts w:ascii="宋体" w:hAnsi="宋体" w:cs="宋体"/>
        </w:rPr>
      </w:r>
      <w:r/>
    </w:p>
    <w:p>
      <w:pPr>
        <w:pStyle w:val="859"/>
        <w:contextualSpacing w:val="0"/>
        <w:ind w:firstLine="562"/>
        <w:jc w:val="left"/>
        <w:spacing w:after="0" w:line="360" w:lineRule="auto"/>
        <w:rPr>
          <w:rFonts w:ascii="宋体" w:hAnsi="宋体" w:cs="宋体"/>
          <w:b/>
          <w:bCs/>
          <w:color w:val="000000"/>
          <w:sz w:val="28"/>
          <w:szCs w:val="28"/>
        </w:rPr>
        <w:suppressLineNumbers w:val="0"/>
      </w:pPr>
      <w:r>
        <w:rPr>
          <w:rFonts w:ascii="宋体" w:hAnsi="宋体" w:eastAsia="华文新魏" w:cs="宋体"/>
          <w:b/>
          <w:bCs/>
          <w:color w:val="000000"/>
          <w:sz w:val="28"/>
          <w:szCs w:val="28"/>
        </w:rPr>
      </w:r>
      <w:r>
        <w:rPr>
          <w:rFonts w:ascii="宋体" w:hAnsi="宋体" w:cs="宋体"/>
        </w:rPr>
      </w:r>
      <w:r/>
    </w:p>
    <w:p>
      <w:pPr>
        <w:pStyle w:val="859"/>
        <w:contextualSpacing w:val="0"/>
        <w:ind w:firstLine="562"/>
        <w:jc w:val="left"/>
        <w:spacing w:after="0" w:line="360" w:lineRule="auto"/>
        <w:rPr>
          <w:rFonts w:ascii="宋体" w:hAnsi="宋体" w:cs="宋体"/>
          <w:b/>
          <w:bCs/>
          <w:color w:val="000000"/>
          <w:sz w:val="28"/>
          <w:szCs w:val="28"/>
        </w:rPr>
        <w:suppressLineNumbers w:val="0"/>
      </w:pPr>
      <w:r>
        <w:rPr>
          <w:rFonts w:ascii="宋体" w:hAnsi="宋体" w:eastAsia="华文新魏" w:cs="宋体"/>
          <w:b/>
          <w:bCs/>
          <w:color w:val="000000"/>
          <w:sz w:val="28"/>
          <w:szCs w:val="28"/>
        </w:rPr>
      </w:r>
      <w:r>
        <w:rPr>
          <w:rFonts w:ascii="宋体" w:hAnsi="宋体" w:cs="宋体"/>
        </w:rPr>
      </w:r>
      <w:r/>
    </w:p>
    <w:p>
      <w:pPr>
        <w:pStyle w:val="859"/>
        <w:contextualSpacing w:val="0"/>
        <w:jc w:val="center"/>
        <w:spacing w:after="0" w:line="360" w:lineRule="auto"/>
        <w:rPr>
          <w:rFonts w:hint="eastAsia" w:ascii="宋体" w:hAnsi="宋体" w:cs="宋体"/>
          <w:b/>
          <w:bCs/>
          <w:color w:val="000000"/>
          <w:sz w:val="108"/>
          <w:szCs w:val="108"/>
        </w:rPr>
        <w:suppressLineNumbers w:val="0"/>
      </w:pPr>
      <w:r>
        <w:rPr>
          <w:rFonts w:hint="eastAsia" w:ascii="宋体" w:hAnsi="宋体" w:eastAsia="宋体" w:cs="宋体"/>
          <w:b/>
          <w:bCs/>
          <w:color w:val="000000"/>
          <w:sz w:val="108"/>
          <w:szCs w:val="108"/>
        </w:rPr>
        <w:t xml:space="preserve">苏州市吴江区</w:t>
      </w:r>
      <w:r>
        <w:rPr>
          <w:rFonts w:ascii="宋体" w:hAnsi="宋体" w:cs="宋体"/>
        </w:rPr>
      </w:r>
      <w:r/>
    </w:p>
    <w:p>
      <w:pPr>
        <w:pStyle w:val="859"/>
        <w:contextualSpacing w:val="0"/>
        <w:jc w:val="center"/>
        <w:spacing w:after="0" w:line="360" w:lineRule="auto"/>
        <w:rPr>
          <w:rFonts w:ascii="宋体" w:hAnsi="宋体" w:cs="宋体"/>
          <w:b/>
          <w:bCs/>
          <w:color w:val="000000"/>
          <w:sz w:val="108"/>
          <w:szCs w:val="108"/>
        </w:rPr>
        <w:suppressLineNumbers w:val="0"/>
      </w:pPr>
      <w:r>
        <w:rPr>
          <w:rFonts w:hint="eastAsia" w:ascii="宋体" w:hAnsi="宋体" w:eastAsia="宋体" w:cs="宋体"/>
          <w:b/>
          <w:bCs/>
          <w:color w:val="000000"/>
          <w:sz w:val="108"/>
          <w:szCs w:val="108"/>
        </w:rPr>
        <w:t xml:space="preserve">政府采购招标文件</w:t>
      </w:r>
      <w:r>
        <w:rPr>
          <w:rFonts w:ascii="宋体" w:hAnsi="宋体" w:cs="宋体"/>
        </w:rPr>
      </w:r>
      <w:r/>
    </w:p>
    <w:p>
      <w:pPr>
        <w:pStyle w:val="859"/>
        <w:contextualSpacing w:val="0"/>
        <w:jc w:val="left"/>
        <w:spacing w:after="0" w:line="360" w:lineRule="auto"/>
        <w:rPr>
          <w:rFonts w:ascii="宋体" w:hAnsi="宋体" w:cs="宋体"/>
          <w:color w:val="000000"/>
        </w:rPr>
        <w:suppressLineNumbers w:val="0"/>
      </w:pPr>
      <w:r>
        <w:rPr>
          <w:rFonts w:ascii="宋体" w:hAnsi="宋体" w:cs="宋体"/>
          <w:color w:val="000000"/>
        </w:rPr>
      </w:r>
      <w:r>
        <w:rPr>
          <w:rFonts w:ascii="宋体" w:hAnsi="宋体" w:cs="宋体"/>
        </w:rPr>
      </w:r>
      <w:r/>
    </w:p>
    <w:p>
      <w:pPr>
        <w:pStyle w:val="859"/>
        <w:contextualSpacing w:val="0"/>
        <w:ind w:firstLine="2249"/>
        <w:jc w:val="left"/>
        <w:spacing w:after="0" w:line="360" w:lineRule="auto"/>
        <w:rPr>
          <w:rFonts w:ascii="宋体" w:hAnsi="宋体" w:cs="宋体"/>
          <w:b/>
          <w:bCs/>
          <w:color w:val="000000"/>
          <w:sz w:val="32"/>
          <w:szCs w:val="32"/>
        </w:rPr>
        <w:suppressLineNumbers w:val="0"/>
      </w:pPr>
      <w:r>
        <w:rPr>
          <w:rFonts w:ascii="宋体" w:hAnsi="宋体" w:cs="宋体"/>
          <w:b/>
          <w:bCs/>
          <w:color w:val="000000"/>
          <w:sz w:val="32"/>
          <w:szCs w:val="32"/>
        </w:rPr>
      </w:r>
      <w:r>
        <w:rPr>
          <w:rFonts w:ascii="宋体" w:hAnsi="宋体" w:cs="宋体"/>
        </w:rPr>
      </w:r>
      <w:r/>
    </w:p>
    <w:p>
      <w:pPr>
        <w:pStyle w:val="859"/>
        <w:contextualSpacing w:val="0"/>
        <w:jc w:val="left"/>
        <w:spacing w:after="0" w:line="360" w:lineRule="auto"/>
        <w:rPr>
          <w:rFonts w:hint="eastAsia" w:ascii="宋体" w:hAnsi="宋体" w:cs="宋体"/>
          <w:b/>
          <w:bCs/>
          <w:color w:val="000000"/>
          <w:sz w:val="32"/>
          <w:szCs w:val="32"/>
        </w:rPr>
        <w:suppressLineNumbers w:val="0"/>
      </w:pPr>
      <w:r>
        <w:rPr>
          <w:rFonts w:hint="eastAsia" w:ascii="宋体" w:hAnsi="宋体" w:cs="宋体"/>
          <w:b/>
          <w:bCs/>
          <w:color w:val="000000"/>
          <w:sz w:val="32"/>
          <w:szCs w:val="32"/>
        </w:rPr>
      </w:r>
      <w:r>
        <w:rPr>
          <w:rFonts w:ascii="宋体" w:hAnsi="宋体" w:cs="宋体"/>
        </w:rPr>
      </w:r>
      <w:r/>
    </w:p>
    <w:p>
      <w:pPr>
        <w:pStyle w:val="859"/>
        <w:contextualSpacing w:val="0"/>
        <w:ind w:firstLine="1928"/>
        <w:jc w:val="left"/>
        <w:spacing w:after="0" w:line="360" w:lineRule="auto"/>
        <w:rPr>
          <w:rFonts w:hint="eastAsia" w:ascii="宋体" w:hAnsi="宋体" w:cs="宋体"/>
          <w:b/>
          <w:bCs/>
          <w:color w:val="000000"/>
          <w:sz w:val="32"/>
          <w:szCs w:val="32"/>
        </w:rPr>
        <w:suppressLineNumbers w:val="0"/>
      </w:pPr>
      <w:r>
        <w:rPr>
          <w:rFonts w:hint="eastAsia" w:ascii="宋体" w:hAnsi="宋体" w:cs="宋体"/>
          <w:b/>
          <w:bCs/>
          <w:color w:val="000000"/>
          <w:sz w:val="32"/>
          <w:szCs w:val="32"/>
        </w:rPr>
      </w:r>
      <w:r>
        <w:rPr>
          <w:rFonts w:ascii="宋体" w:hAnsi="宋体" w:cs="宋体"/>
        </w:rPr>
      </w:r>
      <w:r/>
    </w:p>
    <w:p>
      <w:pPr>
        <w:pStyle w:val="859"/>
        <w:contextualSpacing w:val="0"/>
        <w:ind w:firstLine="1928"/>
        <w:jc w:val="left"/>
        <w:spacing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招标编号：</w:t>
      </w:r>
      <w:r>
        <w:rPr>
          <w:rFonts w:hint="eastAsia" w:ascii="宋体" w:hAnsi="宋体" w:cs="宋体"/>
          <w:b/>
          <w:bCs/>
          <w:color w:val="000000"/>
          <w:sz w:val="32"/>
          <w:szCs w:val="32"/>
          <w:lang w:eastAsia="zh-CN"/>
        </w:rPr>
        <w:t xml:space="preserve">JSZC-320509-SXHC-G2025-0023</w:t>
      </w:r>
      <w:r>
        <w:rPr>
          <w:rFonts w:ascii="宋体" w:hAnsi="宋体" w:cs="宋体"/>
        </w:rPr>
      </w:r>
      <w:r/>
    </w:p>
    <w:p>
      <w:pPr>
        <w:pStyle w:val="859"/>
        <w:contextualSpacing w:val="0"/>
        <w:ind w:firstLine="1928"/>
        <w:jc w:val="left"/>
        <w:spacing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项目名称：230省道吴江收费站、258省道桃源收费站</w:t>
      </w:r>
      <w:r>
        <w:rPr>
          <w:rFonts w:ascii="宋体" w:hAnsi="宋体" w:cs="宋体"/>
        </w:rPr>
      </w:r>
      <w:r/>
    </w:p>
    <w:p>
      <w:pPr>
        <w:pStyle w:val="859"/>
        <w:contextualSpacing w:val="0"/>
        <w:ind w:firstLine="3534"/>
        <w:jc w:val="left"/>
        <w:spacing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财政电子票据改革收费系统改造项目</w:t>
      </w:r>
      <w:r>
        <w:rPr>
          <w:rFonts w:ascii="宋体" w:hAnsi="宋体" w:cs="宋体"/>
        </w:rPr>
      </w:r>
      <w:r/>
    </w:p>
    <w:p>
      <w:pPr>
        <w:pStyle w:val="859"/>
        <w:contextualSpacing w:val="0"/>
        <w:ind w:firstLine="1928"/>
        <w:jc w:val="left"/>
        <w:spacing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采购单位：苏州市吴江区公路事业发展中心</w:t>
      </w:r>
      <w:r>
        <w:rPr>
          <w:rFonts w:ascii="宋体" w:hAnsi="宋体" w:cs="宋体"/>
        </w:rPr>
      </w:r>
      <w:r/>
    </w:p>
    <w:p>
      <w:pPr>
        <w:pStyle w:val="859"/>
        <w:contextualSpacing w:val="0"/>
        <w:ind w:firstLine="1928"/>
        <w:jc w:val="left"/>
        <w:spacing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项目类别：服务类</w:t>
      </w:r>
      <w:r>
        <w:rPr>
          <w:rFonts w:ascii="宋体" w:hAnsi="宋体" w:cs="宋体"/>
        </w:rPr>
      </w:r>
      <w:r/>
    </w:p>
    <w:p>
      <w:pPr>
        <w:pStyle w:val="859"/>
        <w:contextualSpacing w:val="0"/>
        <w:jc w:val="left"/>
        <w:spacing w:after="0" w:line="360" w:lineRule="auto"/>
        <w:rPr>
          <w:rFonts w:hint="eastAsia" w:ascii="宋体" w:hAnsi="宋体" w:cs="宋体"/>
          <w:color w:val="000000"/>
        </w:rPr>
        <w:suppressLineNumbers w:val="0"/>
      </w:pPr>
      <w:r>
        <w:rPr>
          <w:rFonts w:hint="eastAsia" w:ascii="宋体" w:hAnsi="宋体" w:cs="宋体"/>
          <w:color w:val="000000"/>
        </w:rPr>
      </w:r>
      <w:r>
        <w:rPr>
          <w:rFonts w:ascii="宋体" w:hAnsi="宋体" w:cs="宋体"/>
        </w:rPr>
      </w:r>
      <w:r/>
    </w:p>
    <w:p>
      <w:pPr>
        <w:pStyle w:val="1015"/>
        <w:contextualSpacing w:val="0"/>
        <w:jc w:val="left"/>
        <w:spacing w:after="0" w:line="360" w:lineRule="auto"/>
        <w:rPr>
          <w:rFonts w:ascii="宋体" w:hAnsi="宋体" w:cs="宋体"/>
          <w:color w:val="000000"/>
        </w:rPr>
        <w:suppressLineNumbers w:val="0"/>
      </w:pPr>
      <w:r>
        <w:rPr>
          <w:rFonts w:ascii="宋体" w:hAnsi="宋体" w:cs="宋体"/>
          <w:color w:val="000000"/>
        </w:rPr>
      </w:r>
      <w:r>
        <w:rPr>
          <w:rFonts w:ascii="宋体" w:hAnsi="宋体" w:cs="宋体"/>
        </w:rPr>
      </w:r>
      <w:r/>
    </w:p>
    <w:p>
      <w:pPr>
        <w:pStyle w:val="1015"/>
        <w:contextualSpacing w:val="0"/>
        <w:jc w:val="left"/>
        <w:spacing w:after="0" w:line="360" w:lineRule="auto"/>
        <w:rPr>
          <w:rFonts w:ascii="宋体" w:hAnsi="宋体" w:cs="宋体"/>
          <w:color w:val="000000"/>
        </w:rPr>
        <w:suppressLineNumbers w:val="0"/>
      </w:pPr>
      <w:r>
        <w:rPr>
          <w:rFonts w:ascii="宋体" w:hAnsi="宋体" w:cs="宋体"/>
          <w:color w:val="000000"/>
        </w:rPr>
      </w:r>
      <w:r>
        <w:rPr>
          <w:rFonts w:ascii="宋体" w:hAnsi="宋体" w:cs="宋体"/>
        </w:rPr>
      </w:r>
      <w:r/>
    </w:p>
    <w:p>
      <w:pPr>
        <w:pStyle w:val="1015"/>
        <w:contextualSpacing w:val="0"/>
        <w:jc w:val="left"/>
        <w:spacing w:after="0" w:line="360" w:lineRule="auto"/>
        <w:rPr>
          <w:rFonts w:hint="eastAsia" w:ascii="宋体" w:hAnsi="宋体" w:cs="宋体"/>
          <w:color w:val="000000"/>
        </w:rPr>
        <w:suppressLineNumbers w:val="0"/>
      </w:pPr>
      <w:r>
        <w:rPr>
          <w:rFonts w:hint="eastAsia" w:ascii="宋体" w:hAnsi="宋体" w:cs="宋体"/>
          <w:color w:val="000000"/>
        </w:rPr>
      </w:r>
      <w:r>
        <w:rPr>
          <w:rFonts w:ascii="宋体" w:hAnsi="宋体" w:cs="宋体"/>
        </w:rPr>
      </w:r>
      <w:r/>
    </w:p>
    <w:p>
      <w:pPr>
        <w:pStyle w:val="859"/>
        <w:contextualSpacing w:val="0"/>
        <w:jc w:val="left"/>
        <w:spacing w:after="0" w:line="360" w:lineRule="auto"/>
        <w:rPr>
          <w:rFonts w:hint="eastAsia" w:ascii="宋体" w:hAnsi="宋体" w:cs="宋体"/>
          <w:b/>
          <w:bCs/>
          <w:color w:val="000000"/>
          <w:sz w:val="32"/>
          <w:szCs w:val="32"/>
        </w:rPr>
        <w:suppressLineNumbers w:val="0"/>
      </w:pPr>
      <w:r>
        <w:rPr>
          <w:rFonts w:hint="eastAsia" w:ascii="宋体" w:hAnsi="宋体" w:cs="宋体"/>
          <w:b/>
          <w:bCs/>
          <w:color w:val="000000"/>
          <w:sz w:val="32"/>
          <w:szCs w:val="32"/>
        </w:rPr>
      </w:r>
      <w:r>
        <w:rPr>
          <w:rFonts w:ascii="宋体" w:hAnsi="宋体" w:cs="宋体"/>
        </w:rPr>
      </w:r>
      <w:r/>
    </w:p>
    <w:p>
      <w:pPr>
        <w:pStyle w:val="859"/>
        <w:contextualSpacing w:val="0"/>
        <w:jc w:val="center"/>
        <w:spacing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苏州欣禾诚工程咨询服务有限公司</w:t>
      </w:r>
      <w:r>
        <w:rPr>
          <w:rFonts w:ascii="宋体" w:hAnsi="宋体" w:cs="宋体"/>
        </w:rPr>
      </w:r>
      <w:r/>
    </w:p>
    <w:p>
      <w:pPr>
        <w:pStyle w:val="859"/>
        <w:contextualSpacing w:val="0"/>
        <w:jc w:val="center"/>
        <w:spacing w:after="0" w:line="360" w:lineRule="auto"/>
        <w:rPr>
          <w:rFonts w:hint="eastAsia" w:ascii="宋体" w:hAnsi="宋体" w:cs="宋体"/>
          <w:color w:val="000000"/>
          <w:sz w:val="48"/>
          <w:szCs w:val="48"/>
        </w:rPr>
        <w:suppressLineNumbers w:val="0"/>
      </w:pPr>
      <w:r>
        <w:rPr>
          <w:rFonts w:hint="eastAsia" w:ascii="宋体" w:hAnsi="宋体" w:eastAsia="宋体" w:cs="宋体"/>
          <w:b/>
          <w:bCs/>
          <w:color w:val="000000"/>
          <w:sz w:val="32"/>
          <w:szCs w:val="32"/>
        </w:rPr>
        <w:t xml:space="preserve">二〇二五年十月</w:t>
      </w:r>
      <w:r>
        <w:rPr>
          <w:rFonts w:ascii="宋体" w:hAnsi="宋体" w:cs="宋体"/>
        </w:rPr>
      </w:r>
      <w:r/>
    </w:p>
    <w:p>
      <w:pPr>
        <w:pStyle w:val="859"/>
        <w:contextualSpacing w:val="0"/>
        <w:jc w:val="left"/>
        <w:spacing w:after="0" w:line="360" w:lineRule="auto"/>
        <w:rPr>
          <w:rFonts w:hint="eastAsia" w:ascii="宋体" w:hAnsi="宋体" w:cs="宋体"/>
          <w:color w:val="000000"/>
          <w:sz w:val="21"/>
          <w:szCs w:val="21"/>
        </w:rPr>
        <w:suppressLineNumbers w:val="0"/>
      </w:pPr>
      <w:r>
        <w:rPr>
          <w:rFonts w:hint="eastAsia" w:ascii="宋体" w:hAnsi="宋体" w:cs="宋体"/>
          <w:color w:val="000000"/>
          <w:sz w:val="21"/>
          <w:szCs w:val="21"/>
        </w:rPr>
      </w:r>
      <w:r>
        <w:rPr>
          <w:rFonts w:ascii="宋体" w:hAnsi="宋体" w:cs="宋体"/>
        </w:rPr>
      </w:r>
      <w:r/>
    </w:p>
    <w:p>
      <w:pPr>
        <w:pStyle w:val="859"/>
        <w:contextualSpacing w:val="0"/>
        <w:jc w:val="center"/>
        <w:spacing w:after="0" w:line="360" w:lineRule="auto"/>
        <w:rPr>
          <w:rFonts w:ascii="宋体" w:hAnsi="宋体" w:cs="宋体"/>
          <w:color w:val="000000"/>
          <w:sz w:val="48"/>
          <w:szCs w:val="48"/>
        </w:rPr>
        <w:suppressLineNumbers w:val="0"/>
      </w:pPr>
      <w:r>
        <w:rPr>
          <w:rFonts w:hint="eastAsia" w:ascii="宋体" w:hAnsi="宋体" w:eastAsia="宋体" w:cs="宋体"/>
          <w:color w:val="000000"/>
          <w:sz w:val="48"/>
          <w:szCs w:val="48"/>
        </w:rPr>
        <w:t xml:space="preserve">总目录</w:t>
      </w:r>
      <w:r>
        <w:rPr>
          <w:rFonts w:ascii="宋体" w:hAnsi="宋体" w:cs="宋体"/>
        </w:rPr>
      </w:r>
      <w:r/>
    </w:p>
    <w:p>
      <w:pPr>
        <w:pStyle w:val="859"/>
        <w:contextualSpacing w:val="0"/>
        <w:jc w:val="left"/>
        <w:spacing w:after="0" w:line="360" w:lineRule="auto"/>
        <w:rPr>
          <w:rFonts w:ascii="宋体" w:hAnsi="宋体" w:cs="宋体"/>
          <w:color w:val="000000"/>
        </w:rPr>
        <w:suppressLineNumbers w:val="0"/>
      </w:pPr>
      <w:r>
        <w:rPr>
          <w:rFonts w:ascii="宋体" w:hAnsi="宋体" w:cs="宋体"/>
          <w:color w:val="000000"/>
        </w:rPr>
      </w:r>
      <w:r>
        <w:rPr>
          <w:rFonts w:ascii="宋体" w:hAnsi="宋体" w:cs="宋体"/>
        </w:rPr>
      </w:r>
      <w:r/>
    </w:p>
    <w:p>
      <w:pPr>
        <w:pStyle w:val="1019"/>
        <w:contextualSpacing w:val="0"/>
        <w:jc w:val="left"/>
        <w:spacing w:after="0" w:line="360" w:lineRule="auto"/>
        <w:tabs>
          <w:tab w:val="right" w:pos="9902" w:leader="dot"/>
        </w:tabs>
        <w:rPr>
          <w:rFonts w:hint="eastAsia" w:ascii="宋体" w:hAnsi="宋体" w:cs="宋体"/>
          <w:color w:val="000000"/>
          <w:sz w:val="28"/>
          <w:szCs w:val="28"/>
        </w:rPr>
        <w:suppressLineNumbers w:val="0"/>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_Toc1639 </w:instrText>
      </w:r>
      <w:r>
        <w:rPr>
          <w:rFonts w:hint="eastAsia" w:ascii="宋体" w:hAnsi="宋体" w:cs="宋体"/>
          <w:color w:val="000000"/>
          <w:sz w:val="28"/>
          <w:szCs w:val="28"/>
        </w:rPr>
        <w:fldChar w:fldCharType="separate"/>
      </w:r>
      <w:r>
        <w:rPr>
          <w:rFonts w:hint="eastAsia" w:ascii="宋体" w:hAnsi="宋体" w:eastAsia="宋体" w:cs="宋体"/>
          <w:color w:val="000000"/>
          <w:sz w:val="28"/>
          <w:szCs w:val="28"/>
        </w:rPr>
        <w:t xml:space="preserve">第一章  投标邀请函</w:t>
      </w:r>
      <w:r>
        <w:rPr>
          <w:rFonts w:hint="eastAsia" w:ascii="宋体" w:hAnsi="宋体" w:cs="宋体"/>
          <w:color w:val="000000"/>
          <w:sz w:val="28"/>
          <w:szCs w:val="28"/>
        </w:rPr>
        <w:tab/>
      </w:r>
      <w:r>
        <w:rPr>
          <w:rFonts w:hint="eastAsia" w:ascii="宋体" w:hAnsi="宋体" w:cs="宋体"/>
          <w:color w:val="000000"/>
          <w:sz w:val="28"/>
          <w:szCs w:val="28"/>
        </w:rPr>
        <w:t xml:space="preserve">5</w:t>
      </w:r>
      <w:r>
        <w:rPr>
          <w:rFonts w:hint="eastAsia" w:ascii="宋体" w:hAnsi="宋体" w:cs="宋体"/>
          <w:color w:val="000000"/>
          <w:sz w:val="28"/>
          <w:szCs w:val="28"/>
        </w:rPr>
        <w:fldChar w:fldCharType="end"/>
      </w:r>
      <w:r>
        <w:rPr>
          <w:rFonts w:ascii="宋体" w:hAnsi="宋体" w:cs="宋体"/>
        </w:rPr>
      </w:r>
      <w:r/>
    </w:p>
    <w:p>
      <w:pPr>
        <w:pStyle w:val="1019"/>
        <w:contextualSpacing w:val="0"/>
        <w:jc w:val="left"/>
        <w:spacing w:after="0" w:line="360" w:lineRule="auto"/>
        <w:tabs>
          <w:tab w:val="right" w:pos="9902" w:leader="dot"/>
        </w:tabs>
        <w:rPr>
          <w:rFonts w:hint="eastAsia" w:ascii="宋体" w:hAnsi="宋体" w:cs="宋体"/>
          <w:color w:val="000000"/>
          <w:sz w:val="28"/>
          <w:szCs w:val="28"/>
        </w:rPr>
        <w:suppressLineNumbers w:val="0"/>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_Toc698 </w:instrText>
      </w:r>
      <w:r>
        <w:rPr>
          <w:rFonts w:hint="eastAsia" w:ascii="宋体" w:hAnsi="宋体" w:cs="宋体"/>
          <w:color w:val="000000"/>
          <w:sz w:val="28"/>
          <w:szCs w:val="28"/>
        </w:rPr>
        <w:fldChar w:fldCharType="separate"/>
      </w:r>
      <w:r>
        <w:rPr>
          <w:rFonts w:hint="eastAsia" w:ascii="宋体" w:hAnsi="宋体" w:eastAsia="宋体" w:cs="宋体"/>
          <w:color w:val="000000"/>
          <w:sz w:val="28"/>
          <w:szCs w:val="28"/>
        </w:rPr>
        <w:t xml:space="preserve">第二章  投标人须知</w:t>
      </w:r>
      <w:r>
        <w:rPr>
          <w:rFonts w:hint="eastAsia" w:ascii="宋体" w:hAnsi="宋体" w:cs="宋体"/>
          <w:color w:val="000000"/>
          <w:sz w:val="28"/>
          <w:szCs w:val="28"/>
        </w:rPr>
        <w:tab/>
      </w:r>
      <w:r>
        <w:rPr>
          <w:rFonts w:hint="eastAsia" w:ascii="宋体" w:hAnsi="宋体" w:cs="宋体"/>
          <w:color w:val="000000"/>
          <w:sz w:val="28"/>
          <w:szCs w:val="28"/>
        </w:rPr>
        <w:t xml:space="preserve">9</w:t>
      </w:r>
      <w:r>
        <w:rPr>
          <w:rFonts w:hint="eastAsia" w:ascii="宋体" w:hAnsi="宋体" w:cs="宋体"/>
          <w:color w:val="000000"/>
          <w:sz w:val="28"/>
          <w:szCs w:val="28"/>
        </w:rPr>
        <w:fldChar w:fldCharType="end"/>
      </w:r>
      <w:r>
        <w:rPr>
          <w:rFonts w:ascii="宋体" w:hAnsi="宋体" w:cs="宋体"/>
        </w:rPr>
      </w:r>
      <w:r/>
    </w:p>
    <w:p>
      <w:pPr>
        <w:pStyle w:val="1019"/>
        <w:contextualSpacing w:val="0"/>
        <w:jc w:val="left"/>
        <w:spacing w:after="0" w:line="360" w:lineRule="auto"/>
        <w:tabs>
          <w:tab w:val="right" w:pos="9902" w:leader="dot"/>
        </w:tabs>
        <w:rPr>
          <w:rFonts w:hint="eastAsia" w:ascii="宋体" w:hAnsi="宋体" w:cs="宋体"/>
          <w:color w:val="000000"/>
          <w:sz w:val="28"/>
          <w:szCs w:val="28"/>
        </w:rPr>
        <w:suppressLineNumbers w:val="0"/>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_Toc9263 </w:instrText>
      </w:r>
      <w:r>
        <w:rPr>
          <w:rFonts w:hint="eastAsia" w:ascii="宋体" w:hAnsi="宋体" w:cs="宋体"/>
          <w:color w:val="000000"/>
          <w:sz w:val="28"/>
          <w:szCs w:val="28"/>
        </w:rPr>
        <w:fldChar w:fldCharType="separate"/>
      </w:r>
      <w:r>
        <w:rPr>
          <w:rFonts w:hint="eastAsia" w:ascii="宋体" w:hAnsi="宋体" w:eastAsia="宋体" w:cs="宋体"/>
          <w:color w:val="000000"/>
          <w:sz w:val="28"/>
          <w:szCs w:val="28"/>
        </w:rPr>
        <w:t xml:space="preserve">第三章  投标文件格式</w:t>
      </w:r>
      <w:r>
        <w:rPr>
          <w:rFonts w:hint="eastAsia" w:ascii="宋体" w:hAnsi="宋体" w:cs="宋体"/>
          <w:color w:val="000000"/>
          <w:sz w:val="28"/>
          <w:szCs w:val="28"/>
        </w:rPr>
        <w:tab/>
      </w:r>
      <w:r>
        <w:rPr>
          <w:rFonts w:hint="eastAsia" w:ascii="宋体" w:hAnsi="宋体" w:cs="宋体"/>
          <w:color w:val="000000"/>
          <w:sz w:val="28"/>
          <w:szCs w:val="28"/>
        </w:rPr>
        <w:t xml:space="preserve">22</w:t>
      </w:r>
      <w:r>
        <w:rPr>
          <w:rFonts w:hint="eastAsia" w:ascii="宋体" w:hAnsi="宋体" w:cs="宋体"/>
          <w:color w:val="000000"/>
          <w:sz w:val="28"/>
          <w:szCs w:val="28"/>
        </w:rPr>
        <w:fldChar w:fldCharType="end"/>
      </w:r>
      <w:r>
        <w:rPr>
          <w:rFonts w:ascii="宋体" w:hAnsi="宋体" w:cs="宋体"/>
        </w:rPr>
      </w:r>
      <w:r/>
    </w:p>
    <w:p>
      <w:pPr>
        <w:pStyle w:val="1019"/>
        <w:contextualSpacing w:val="0"/>
        <w:jc w:val="left"/>
        <w:spacing w:after="0" w:line="360" w:lineRule="auto"/>
        <w:tabs>
          <w:tab w:val="right" w:pos="9902" w:leader="dot"/>
        </w:tabs>
        <w:rPr>
          <w:rFonts w:hint="eastAsia" w:ascii="宋体" w:hAnsi="宋体" w:cs="宋体"/>
          <w:color w:val="000000"/>
          <w:sz w:val="28"/>
          <w:szCs w:val="28"/>
        </w:rPr>
        <w:suppressLineNumbers w:val="0"/>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_Toc10802 </w:instrText>
      </w:r>
      <w:r>
        <w:rPr>
          <w:rFonts w:hint="eastAsia" w:ascii="宋体" w:hAnsi="宋体" w:cs="宋体"/>
          <w:color w:val="000000"/>
          <w:sz w:val="28"/>
          <w:szCs w:val="28"/>
        </w:rPr>
        <w:fldChar w:fldCharType="separate"/>
      </w:r>
      <w:r>
        <w:rPr>
          <w:rFonts w:hint="eastAsia" w:ascii="宋体" w:hAnsi="宋体" w:eastAsia="宋体" w:cs="宋体"/>
          <w:color w:val="000000"/>
          <w:sz w:val="28"/>
          <w:szCs w:val="28"/>
        </w:rPr>
        <w:t xml:space="preserve">第四章  招标书</w:t>
      </w:r>
      <w:r>
        <w:rPr>
          <w:rFonts w:hint="eastAsia" w:ascii="宋体" w:hAnsi="宋体" w:cs="宋体"/>
          <w:color w:val="000000"/>
          <w:sz w:val="28"/>
          <w:szCs w:val="28"/>
        </w:rPr>
        <w:tab/>
      </w:r>
      <w:r>
        <w:rPr>
          <w:rFonts w:hint="eastAsia" w:ascii="宋体" w:hAnsi="宋体" w:cs="宋体"/>
          <w:color w:val="000000"/>
          <w:sz w:val="28"/>
          <w:szCs w:val="28"/>
        </w:rPr>
        <w:fldChar w:fldCharType="end"/>
      </w:r>
      <w:r>
        <w:rPr>
          <w:rFonts w:hint="eastAsia" w:ascii="宋体" w:hAnsi="宋体" w:cs="宋体"/>
          <w:color w:val="000000"/>
          <w:sz w:val="28"/>
          <w:szCs w:val="28"/>
        </w:rPr>
        <w:t xml:space="preserve">40</w:t>
      </w:r>
      <w:r>
        <w:rPr>
          <w:rFonts w:ascii="宋体" w:hAnsi="宋体" w:cs="宋体"/>
        </w:rPr>
      </w:r>
      <w:r/>
    </w:p>
    <w:p>
      <w:pPr>
        <w:pStyle w:val="1019"/>
        <w:contextualSpacing w:val="0"/>
        <w:jc w:val="left"/>
        <w:spacing w:after="0" w:line="360" w:lineRule="auto"/>
        <w:tabs>
          <w:tab w:val="right" w:pos="9902" w:leader="dot"/>
        </w:tabs>
        <w:rPr>
          <w:rFonts w:hint="eastAsia" w:ascii="宋体" w:hAnsi="宋体" w:cs="宋体"/>
          <w:color w:val="000000"/>
          <w:sz w:val="28"/>
          <w:szCs w:val="28"/>
        </w:rPr>
        <w:suppressLineNumbers w:val="0"/>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_Toc4087 </w:instrText>
      </w:r>
      <w:r>
        <w:rPr>
          <w:rFonts w:hint="eastAsia" w:ascii="宋体" w:hAnsi="宋体" w:cs="宋体"/>
          <w:color w:val="000000"/>
          <w:sz w:val="28"/>
          <w:szCs w:val="28"/>
        </w:rPr>
        <w:fldChar w:fldCharType="separate"/>
      </w:r>
      <w:r>
        <w:rPr>
          <w:rFonts w:hint="eastAsia" w:ascii="宋体" w:hAnsi="宋体" w:eastAsia="宋体" w:cs="宋体"/>
          <w:color w:val="000000"/>
          <w:sz w:val="28"/>
          <w:szCs w:val="28"/>
        </w:rPr>
        <w:t xml:space="preserve">第五章  合同的主要条款</w:t>
      </w:r>
      <w:r>
        <w:rPr>
          <w:rFonts w:hint="eastAsia" w:ascii="宋体" w:hAnsi="宋体" w:cs="宋体"/>
          <w:color w:val="000000"/>
          <w:sz w:val="28"/>
          <w:szCs w:val="28"/>
        </w:rPr>
        <w:tab/>
      </w:r>
      <w:r>
        <w:rPr>
          <w:rFonts w:hint="eastAsia" w:ascii="宋体" w:hAnsi="宋体" w:cs="宋体"/>
          <w:color w:val="000000"/>
          <w:sz w:val="28"/>
          <w:szCs w:val="28"/>
        </w:rPr>
        <w:t xml:space="preserve">5</w:t>
      </w:r>
      <w:r>
        <w:rPr>
          <w:rFonts w:hint="eastAsia" w:ascii="宋体" w:hAnsi="宋体" w:cs="宋体"/>
          <w:color w:val="000000"/>
          <w:sz w:val="28"/>
          <w:szCs w:val="28"/>
        </w:rPr>
        <w:fldChar w:fldCharType="end"/>
      </w:r>
      <w:r>
        <w:rPr>
          <w:rFonts w:hint="eastAsia" w:ascii="宋体" w:hAnsi="宋体" w:cs="宋体"/>
          <w:color w:val="000000"/>
          <w:sz w:val="28"/>
          <w:szCs w:val="28"/>
        </w:rPr>
        <w:t xml:space="preserve">6</w:t>
      </w:r>
      <w:r>
        <w:rPr>
          <w:rFonts w:ascii="宋体" w:hAnsi="宋体" w:cs="宋体"/>
        </w:rPr>
      </w:r>
      <w:r/>
    </w:p>
    <w:p>
      <w:pPr>
        <w:pStyle w:val="1019"/>
        <w:contextualSpacing w:val="0"/>
        <w:jc w:val="left"/>
        <w:spacing w:after="0" w:line="360" w:lineRule="auto"/>
        <w:tabs>
          <w:tab w:val="right" w:pos="9902" w:leader="dot"/>
        </w:tabs>
        <w:rPr>
          <w:rFonts w:hint="eastAsia" w:ascii="宋体" w:hAnsi="宋体" w:cs="宋体"/>
          <w:color w:val="000000"/>
          <w:sz w:val="28"/>
          <w:szCs w:val="28"/>
        </w:rPr>
        <w:suppressLineNumbers w:val="0"/>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_Toc4720 </w:instrText>
      </w:r>
      <w:r>
        <w:rPr>
          <w:rFonts w:hint="eastAsia" w:ascii="宋体" w:hAnsi="宋体" w:cs="宋体"/>
          <w:color w:val="000000"/>
          <w:sz w:val="28"/>
          <w:szCs w:val="28"/>
        </w:rPr>
        <w:fldChar w:fldCharType="separate"/>
      </w:r>
      <w:r>
        <w:rPr>
          <w:rFonts w:hint="eastAsia" w:ascii="宋体" w:hAnsi="宋体" w:eastAsia="宋体" w:cs="宋体"/>
          <w:color w:val="000000"/>
          <w:sz w:val="28"/>
          <w:szCs w:val="28"/>
        </w:rPr>
        <w:t xml:space="preserve">第六章  评标方法及评分要点</w:t>
      </w:r>
      <w:r>
        <w:rPr>
          <w:rFonts w:hint="eastAsia" w:ascii="宋体" w:hAnsi="宋体" w:cs="宋体"/>
          <w:color w:val="000000"/>
          <w:sz w:val="28"/>
          <w:szCs w:val="28"/>
        </w:rPr>
        <w:tab/>
      </w:r>
      <w:r>
        <w:rPr>
          <w:rFonts w:hint="eastAsia" w:ascii="宋体" w:hAnsi="宋体" w:cs="宋体"/>
          <w:color w:val="000000"/>
          <w:sz w:val="28"/>
          <w:szCs w:val="28"/>
        </w:rPr>
        <w:fldChar w:fldCharType="end"/>
      </w:r>
      <w:r>
        <w:rPr>
          <w:rFonts w:hint="eastAsia" w:ascii="宋体" w:hAnsi="宋体" w:cs="宋体"/>
          <w:color w:val="000000"/>
          <w:sz w:val="28"/>
          <w:szCs w:val="28"/>
        </w:rPr>
        <w:t xml:space="preserve">61</w:t>
      </w:r>
      <w:r>
        <w:rPr>
          <w:rFonts w:ascii="宋体" w:hAnsi="宋体" w:cs="宋体"/>
        </w:rPr>
      </w:r>
      <w:r/>
    </w:p>
    <w:p>
      <w:pPr>
        <w:pStyle w:val="859"/>
        <w:contextualSpacing w:val="0"/>
        <w:jc w:val="left"/>
        <w:spacing w:after="0" w:line="360" w:lineRule="auto"/>
        <w:rPr>
          <w:rFonts w:ascii="宋体" w:hAnsi="宋体" w:cs="宋体"/>
          <w:color w:val="000000"/>
        </w:rPr>
        <w:suppressLineNumbers w:val="0"/>
      </w:pPr>
      <w:r>
        <w:rPr>
          <w:rFonts w:ascii="宋体" w:hAnsi="宋体" w:cs="宋体"/>
          <w:color w:val="000000"/>
        </w:rPr>
      </w:r>
      <w:r>
        <w:rPr>
          <w:rFonts w:ascii="宋体" w:hAnsi="宋体" w:cs="宋体"/>
        </w:rPr>
      </w:r>
      <w:r/>
    </w:p>
    <w:p>
      <w:pPr>
        <w:pStyle w:val="859"/>
        <w:rPr>
          <w:rFonts w:ascii="宋体" w:hAnsi="宋体" w:cs="宋体"/>
          <w:color w:val="000000"/>
        </w:rPr>
      </w:pPr>
      <w:r>
        <w:rPr>
          <w:rFonts w:ascii="宋体" w:hAnsi="宋体" w:cs="宋体"/>
          <w:color w:val="000000"/>
        </w:rPr>
      </w:r>
      <w:r>
        <w:rPr>
          <w:rFonts w:ascii="宋体" w:hAnsi="宋体" w:cs="宋体"/>
        </w:rPr>
      </w:r>
      <w:r/>
    </w:p>
    <w:p>
      <w:pPr>
        <w:pStyle w:val="859"/>
        <w:rPr>
          <w:rFonts w:ascii="宋体" w:hAnsi="宋体" w:cs="宋体"/>
          <w:color w:val="000000"/>
        </w:rPr>
      </w:pPr>
      <w:r>
        <w:rPr>
          <w:rFonts w:ascii="宋体" w:hAnsi="宋体" w:cs="宋体"/>
          <w:color w:val="000000"/>
        </w:rPr>
      </w:r>
      <w:r>
        <w:rPr>
          <w:rFonts w:ascii="宋体" w:hAnsi="宋体" w:cs="宋体"/>
        </w:rPr>
      </w:r>
      <w:r/>
    </w:p>
    <w:p>
      <w:pPr>
        <w:pStyle w:val="859"/>
        <w:rPr>
          <w:rFonts w:ascii="宋体" w:hAnsi="宋体" w:cs="宋体"/>
          <w:color w:val="000000"/>
        </w:rPr>
      </w:pPr>
      <w:r>
        <w:rPr>
          <w:rFonts w:ascii="宋体" w:hAnsi="宋体" w:cs="宋体"/>
          <w:color w:val="000000"/>
        </w:rPr>
      </w:r>
      <w:r>
        <w:rPr>
          <w:rFonts w:ascii="宋体" w:hAnsi="宋体" w:cs="宋体"/>
        </w:rPr>
      </w:r>
      <w:r/>
    </w:p>
    <w:p>
      <w:pPr>
        <w:pStyle w:val="859"/>
        <w:rPr>
          <w:rFonts w:ascii="宋体" w:hAnsi="宋体" w:cs="宋体"/>
          <w:color w:val="000000"/>
        </w:rPr>
      </w:pPr>
      <w:r>
        <w:rPr>
          <w:rFonts w:ascii="宋体" w:hAnsi="宋体" w:cs="宋体"/>
          <w:color w:val="000000"/>
        </w:rPr>
      </w:r>
      <w:r>
        <w:rPr>
          <w:rFonts w:ascii="宋体" w:hAnsi="宋体" w:cs="宋体"/>
        </w:rPr>
      </w:r>
      <w:r/>
    </w:p>
    <w:p>
      <w:pPr>
        <w:pStyle w:val="859"/>
        <w:rPr>
          <w:rFonts w:ascii="宋体" w:hAnsi="宋体" w:cs="宋体"/>
          <w:color w:val="000000"/>
        </w:rPr>
      </w:pPr>
      <w:r>
        <w:rPr>
          <w:rFonts w:ascii="宋体" w:hAnsi="宋体" w:cs="宋体"/>
          <w:color w:val="000000"/>
        </w:rPr>
      </w:r>
      <w:r>
        <w:rPr>
          <w:rFonts w:ascii="宋体" w:hAnsi="宋体" w:cs="宋体"/>
        </w:rPr>
      </w:r>
      <w:r/>
    </w:p>
    <w:p>
      <w:pPr>
        <w:pStyle w:val="859"/>
        <w:rPr>
          <w:rFonts w:ascii="宋体" w:hAnsi="宋体" w:cs="宋体"/>
          <w:color w:val="000000"/>
        </w:rPr>
      </w:pPr>
      <w:r>
        <w:rPr>
          <w:rFonts w:ascii="宋体" w:hAnsi="宋体" w:cs="宋体"/>
          <w:color w:val="000000"/>
        </w:rPr>
      </w:r>
      <w:r>
        <w:rPr>
          <w:rFonts w:ascii="宋体" w:hAnsi="宋体" w:cs="宋体"/>
        </w:rPr>
      </w:r>
      <w:r/>
    </w:p>
    <w:p>
      <w:pPr>
        <w:pStyle w:val="859"/>
        <w:rPr>
          <w:rFonts w:ascii="宋体" w:hAnsi="宋体" w:cs="宋体"/>
          <w:color w:val="000000"/>
        </w:rPr>
      </w:pPr>
      <w:r>
        <w:rPr>
          <w:rFonts w:ascii="宋体" w:hAnsi="宋体" w:cs="宋体"/>
          <w:color w:val="000000"/>
        </w:rPr>
      </w:r>
      <w:r>
        <w:rPr>
          <w:rFonts w:ascii="宋体" w:hAnsi="宋体" w:cs="宋体"/>
        </w:rPr>
      </w:r>
      <w:r/>
    </w:p>
    <w:p>
      <w:pPr>
        <w:pStyle w:val="859"/>
        <w:rPr>
          <w:rFonts w:ascii="宋体" w:hAnsi="宋体" w:cs="宋体"/>
          <w:color w:val="000000"/>
        </w:rPr>
      </w:pPr>
      <w:r>
        <w:rPr>
          <w:rFonts w:ascii="宋体" w:hAnsi="宋体" w:cs="宋体"/>
          <w:color w:val="000000"/>
        </w:rPr>
      </w:r>
      <w:r>
        <w:rPr>
          <w:rFonts w:ascii="宋体" w:hAnsi="宋体" w:cs="宋体"/>
        </w:rPr>
      </w:r>
      <w:r/>
    </w:p>
    <w:p>
      <w:pPr>
        <w:pStyle w:val="859"/>
        <w:rPr>
          <w:rFonts w:ascii="宋体" w:hAnsi="宋体" w:cs="宋体"/>
          <w:color w:val="000000"/>
        </w:rPr>
      </w:pPr>
      <w:r>
        <w:rPr>
          <w:rFonts w:ascii="宋体" w:hAnsi="宋体" w:cs="宋体"/>
          <w:color w:val="000000"/>
        </w:rPr>
      </w:r>
      <w:r>
        <w:rPr>
          <w:rFonts w:ascii="宋体" w:hAnsi="宋体" w:cs="宋体"/>
        </w:rPr>
      </w:r>
      <w:r/>
    </w:p>
    <w:p>
      <w:pPr>
        <w:pStyle w:val="859"/>
        <w:rPr>
          <w:rFonts w:ascii="宋体" w:hAnsi="宋体" w:cs="宋体"/>
          <w:color w:val="000000"/>
        </w:rPr>
      </w:pPr>
      <w:r>
        <w:rPr>
          <w:rFonts w:ascii="宋体" w:hAnsi="宋体" w:cs="宋体"/>
          <w:color w:val="000000"/>
        </w:rPr>
      </w:r>
      <w:r>
        <w:rPr>
          <w:rFonts w:ascii="宋体" w:hAnsi="宋体" w:cs="宋体"/>
        </w:rPr>
      </w:r>
      <w:r/>
    </w:p>
    <w:p>
      <w:pPr>
        <w:pStyle w:val="859"/>
        <w:rPr>
          <w:rFonts w:ascii="宋体" w:hAnsi="宋体" w:cs="宋体"/>
          <w:color w:val="000000"/>
        </w:rPr>
      </w:pPr>
      <w:r>
        <w:rPr>
          <w:rFonts w:ascii="宋体" w:hAnsi="宋体" w:cs="宋体"/>
          <w:color w:val="000000"/>
        </w:rPr>
      </w:r>
      <w:r>
        <w:rPr>
          <w:rFonts w:ascii="宋体" w:hAnsi="宋体" w:cs="宋体"/>
        </w:rPr>
      </w:r>
      <w:r/>
    </w:p>
    <w:p>
      <w:pPr>
        <w:pStyle w:val="859"/>
        <w:rPr>
          <w:rFonts w:ascii="宋体" w:hAnsi="宋体" w:cs="宋体"/>
          <w:color w:val="000000"/>
        </w:rPr>
      </w:pPr>
      <w:r>
        <w:rPr>
          <w:rFonts w:ascii="宋体" w:hAnsi="宋体" w:cs="宋体"/>
          <w:color w:val="000000"/>
        </w:rPr>
      </w:r>
      <w:r>
        <w:rPr>
          <w:rFonts w:ascii="宋体" w:hAnsi="宋体" w:cs="宋体"/>
        </w:rPr>
      </w:r>
      <w:r/>
    </w:p>
    <w:p>
      <w:pPr>
        <w:pStyle w:val="859"/>
        <w:rPr>
          <w:rFonts w:ascii="宋体" w:hAnsi="宋体" w:cs="宋体"/>
          <w:color w:val="000000"/>
        </w:rPr>
      </w:pPr>
      <w:r>
        <w:rPr>
          <w:rFonts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ascii="宋体" w:hAnsi="宋体" w:cs="宋体"/>
          <w:b/>
          <w:bCs/>
          <w:color w:val="000000"/>
          <w:spacing w:val="20"/>
          <w:sz w:val="30"/>
          <w:szCs w:val="30"/>
        </w:rPr>
      </w:pPr>
      <w:r>
        <w:rPr>
          <w:rFonts w:ascii="宋体" w:hAnsi="宋体" w:cs="宋体"/>
          <w:b/>
          <w:bCs/>
          <w:color w:val="000000"/>
          <w:spacing w:val="20"/>
          <w:sz w:val="30"/>
          <w:szCs w:val="30"/>
        </w:rPr>
      </w:r>
      <w:r>
        <w:rPr>
          <w:rFonts w:ascii="宋体" w:hAnsi="宋体" w:cs="宋体"/>
        </w:rPr>
      </w:r>
      <w:r/>
    </w:p>
    <w:p>
      <w:pPr>
        <w:pStyle w:val="859"/>
        <w:jc w:val="center"/>
        <w:rPr>
          <w:rFonts w:ascii="宋体" w:hAnsi="宋体" w:cs="宋体"/>
          <w:b/>
          <w:bCs/>
          <w:color w:val="000000"/>
          <w:spacing w:val="20"/>
          <w:sz w:val="30"/>
          <w:szCs w:val="30"/>
        </w:rPr>
      </w:pPr>
      <w:r>
        <w:rPr>
          <w:rFonts w:ascii="宋体" w:hAnsi="宋体" w:cs="宋体"/>
          <w:b/>
          <w:bCs/>
          <w:color w:val="000000"/>
          <w:spacing w:val="20"/>
          <w:sz w:val="30"/>
          <w:szCs w:val="30"/>
        </w:rPr>
      </w:r>
      <w:r>
        <w:rPr>
          <w:rFonts w:ascii="宋体" w:hAnsi="宋体" w:cs="宋体"/>
        </w:rPr>
      </w:r>
      <w:r/>
    </w:p>
    <w:p>
      <w:pPr>
        <w:pStyle w:val="892"/>
        <w:rPr>
          <w:rFonts w:ascii="宋体" w:hAnsi="宋体" w:cs="宋体"/>
          <w:color w:val="000000"/>
        </w:rPr>
      </w:pPr>
      <w:r>
        <w:rPr>
          <w:rFonts w:ascii="宋体" w:hAnsi="宋体" w:cs="宋体"/>
          <w:color w:val="000000"/>
        </w:rPr>
      </w:r>
      <w:r>
        <w:rPr>
          <w:rFonts w:ascii="宋体" w:hAnsi="宋体" w:cs="宋体"/>
        </w:rPr>
      </w:r>
      <w:r/>
    </w:p>
    <w:p>
      <w:pPr>
        <w:pStyle w:val="906"/>
        <w:rPr>
          <w:rFonts w:ascii="宋体" w:hAnsi="宋体" w:cs="宋体"/>
          <w:color w:val="000000"/>
        </w:rPr>
      </w:pPr>
      <w:r>
        <w:rPr>
          <w:rFonts w:ascii="宋体" w:hAnsi="宋体" w:cs="宋体"/>
          <w:color w:val="000000"/>
        </w:rPr>
      </w:r>
      <w:r>
        <w:rPr>
          <w:rFonts w:ascii="宋体" w:hAnsi="宋体" w:cs="宋体"/>
        </w:rPr>
      </w:r>
      <w:r/>
    </w:p>
    <w:p>
      <w:pPr>
        <w:pStyle w:val="906"/>
        <w:rPr>
          <w:rFonts w:ascii="宋体" w:hAnsi="宋体" w:cs="宋体"/>
          <w:color w:val="000000"/>
        </w:rPr>
      </w:pPr>
      <w:r>
        <w:rPr>
          <w:rFonts w:ascii="宋体" w:hAnsi="宋体" w:cs="宋体"/>
          <w:color w:val="000000"/>
        </w:rPr>
      </w:r>
      <w:r>
        <w:rPr>
          <w:rFonts w:ascii="宋体" w:hAnsi="宋体" w:cs="宋体"/>
        </w:rPr>
      </w:r>
      <w:r/>
    </w:p>
    <w:p>
      <w:pPr>
        <w:pStyle w:val="859"/>
        <w:jc w:val="center"/>
        <w:rPr>
          <w:rFonts w:ascii="宋体" w:hAnsi="宋体" w:cs="宋体"/>
          <w:b/>
          <w:bCs/>
          <w:color w:val="000000"/>
          <w:spacing w:val="20"/>
          <w:sz w:val="30"/>
          <w:szCs w:val="30"/>
        </w:rPr>
      </w:pPr>
      <w:r>
        <w:rPr>
          <w:rFonts w:ascii="宋体" w:hAnsi="宋体" w:cs="宋体"/>
          <w:b/>
          <w:bCs/>
          <w:color w:val="000000"/>
          <w:spacing w:val="20"/>
          <w:sz w:val="30"/>
          <w:szCs w:val="30"/>
        </w:rPr>
      </w:r>
      <w:r>
        <w:rPr>
          <w:rFonts w:ascii="宋体" w:hAnsi="宋体" w:cs="宋体"/>
        </w:rPr>
      </w:r>
      <w:r/>
    </w:p>
    <w:p>
      <w:pPr>
        <w:jc w:val="center"/>
        <w:rPr>
          <w:rFonts w:hint="eastAsia" w:ascii="宋体" w:hAnsi="宋体" w:cs="宋体"/>
          <w:b/>
          <w:bCs/>
          <w:color w:val="000000"/>
          <w:spacing w:val="20"/>
          <w:sz w:val="30"/>
          <w:szCs w:val="30"/>
        </w:rPr>
      </w:pPr>
      <w:r>
        <w:rPr>
          <w:rFonts w:hint="eastAsia" w:ascii="宋体" w:hAnsi="宋体" w:cs="宋体"/>
          <w:b/>
          <w:bCs/>
          <w:color w:val="000000"/>
          <w:spacing w:val="20"/>
          <w:sz w:val="30"/>
          <w:szCs w:val="30"/>
        </w:rPr>
      </w:r>
      <w:r>
        <w:rPr>
          <w:rFonts w:hint="eastAsia" w:ascii="宋体" w:hAnsi="宋体" w:cs="宋体"/>
          <w:b/>
          <w:bCs/>
          <w:color w:val="000000"/>
          <w:spacing w:val="20"/>
          <w:sz w:val="30"/>
          <w:szCs w:val="30"/>
        </w:rPr>
      </w:r>
      <w:r/>
    </w:p>
    <w:p>
      <w:pPr>
        <w:jc w:val="center"/>
        <w:rPr>
          <w:rFonts w:hint="eastAsia" w:ascii="宋体" w:hAnsi="宋体" w:cs="宋体"/>
          <w:b/>
          <w:bCs/>
          <w:color w:val="000000"/>
          <w:spacing w:val="20"/>
          <w:sz w:val="30"/>
          <w:szCs w:val="30"/>
        </w:rPr>
      </w:pPr>
      <w:r>
        <w:rPr>
          <w:rFonts w:hint="eastAsia" w:ascii="宋体" w:hAnsi="宋体" w:cs="宋体"/>
          <w:b/>
          <w:bCs/>
          <w:color w:val="000000"/>
          <w:spacing w:val="20"/>
          <w:sz w:val="30"/>
          <w:szCs w:val="30"/>
        </w:rPr>
      </w:r>
      <w:r>
        <w:rPr>
          <w:rFonts w:hint="eastAsia" w:ascii="宋体" w:hAnsi="宋体" w:cs="宋体"/>
          <w:b/>
          <w:bCs/>
          <w:color w:val="000000"/>
          <w:spacing w:val="20"/>
          <w:sz w:val="30"/>
          <w:szCs w:val="30"/>
        </w:rPr>
      </w:r>
      <w:r/>
    </w:p>
    <w:p>
      <w:pPr>
        <w:jc w:val="center"/>
        <w:rPr>
          <w:rFonts w:hint="eastAsia" w:ascii="宋体" w:hAnsi="宋体" w:cs="宋体"/>
          <w:b/>
          <w:bCs/>
          <w:color w:val="000000"/>
          <w:spacing w:val="20"/>
          <w:sz w:val="30"/>
          <w:szCs w:val="30"/>
        </w:rPr>
      </w:pPr>
      <w:r>
        <w:rPr>
          <w:rFonts w:hint="eastAsia" w:ascii="宋体" w:hAnsi="宋体" w:cs="宋体"/>
          <w:b/>
          <w:bCs/>
          <w:color w:val="000000"/>
          <w:spacing w:val="20"/>
          <w:sz w:val="30"/>
          <w:szCs w:val="30"/>
        </w:rPr>
      </w:r>
      <w:r>
        <w:rPr>
          <w:rFonts w:hint="eastAsia" w:ascii="宋体" w:hAnsi="宋体" w:cs="宋体"/>
          <w:b/>
          <w:bCs/>
          <w:color w:val="000000"/>
          <w:spacing w:val="20"/>
          <w:sz w:val="30"/>
          <w:szCs w:val="30"/>
        </w:rPr>
      </w:r>
      <w:r/>
    </w:p>
    <w:p>
      <w:pPr>
        <w:jc w:val="center"/>
        <w:rPr>
          <w:rFonts w:hint="eastAsia" w:ascii="宋体" w:hAnsi="宋体" w:cs="宋体"/>
          <w:b/>
          <w:bCs/>
          <w:color w:val="000000"/>
          <w:spacing w:val="20"/>
          <w:sz w:val="30"/>
          <w:szCs w:val="30"/>
        </w:rPr>
      </w:pPr>
      <w:r>
        <w:rPr>
          <w:rFonts w:hint="eastAsia" w:ascii="宋体" w:hAnsi="宋体" w:cs="宋体"/>
          <w:b/>
          <w:bCs/>
          <w:color w:val="000000"/>
          <w:spacing w:val="20"/>
          <w:sz w:val="30"/>
          <w:szCs w:val="30"/>
        </w:rPr>
      </w:r>
      <w:r>
        <w:rPr>
          <w:rFonts w:hint="eastAsia" w:ascii="宋体" w:hAnsi="宋体" w:cs="宋体"/>
          <w:b/>
          <w:bCs/>
          <w:color w:val="000000"/>
          <w:spacing w:val="20"/>
          <w:sz w:val="30"/>
          <w:szCs w:val="30"/>
        </w:rPr>
      </w:r>
      <w:r/>
    </w:p>
    <w:p>
      <w:pPr>
        <w:pStyle w:val="859"/>
        <w:jc w:val="center"/>
        <w:rPr>
          <w:rFonts w:hint="eastAsia" w:ascii="宋体" w:hAnsi="宋体" w:cs="宋体"/>
          <w:b/>
          <w:bCs/>
          <w:color w:val="000000"/>
          <w:spacing w:val="20"/>
          <w:sz w:val="30"/>
          <w:szCs w:val="30"/>
        </w:rPr>
      </w:pPr>
      <w:r>
        <w:rPr>
          <w:rFonts w:hint="eastAsia" w:ascii="宋体" w:hAnsi="宋体" w:cs="宋体"/>
          <w:b/>
          <w:bCs/>
          <w:color w:val="000000"/>
          <w:spacing w:val="20"/>
          <w:sz w:val="30"/>
          <w:szCs w:val="30"/>
        </w:rPr>
      </w:r>
      <w:r>
        <w:rPr>
          <w:rFonts w:ascii="宋体" w:hAnsi="宋体" w:cs="宋体"/>
        </w:rPr>
      </w:r>
      <w:r/>
    </w:p>
    <w:p>
      <w:pPr>
        <w:pStyle w:val="1015"/>
        <w:rPr>
          <w:rFonts w:ascii="宋体" w:hAnsi="宋体" w:cs="宋体"/>
          <w:color w:val="000000"/>
        </w:rPr>
      </w:pPr>
      <w:r>
        <w:rPr>
          <w:rFonts w:ascii="宋体" w:hAnsi="宋体" w:cs="宋体"/>
          <w:color w:val="000000"/>
        </w:rPr>
      </w:r>
      <w:r>
        <w:rPr>
          <w:rFonts w:ascii="宋体" w:hAnsi="宋体" w:cs="宋体"/>
        </w:rPr>
      </w:r>
      <w:r/>
    </w:p>
    <w:p>
      <w:pPr>
        <w:pStyle w:val="859"/>
        <w:rPr>
          <w:rFonts w:ascii="宋体" w:hAnsi="宋体" w:cs="宋体"/>
          <w:color w:val="000000"/>
        </w:rPr>
      </w:pPr>
      <w:r>
        <w:rPr>
          <w:rFonts w:ascii="宋体" w:hAnsi="宋体" w:cs="宋体"/>
          <w:color w:val="000000"/>
        </w:rPr>
      </w:r>
      <w:r>
        <w:rPr>
          <w:rFonts w:ascii="宋体" w:hAnsi="宋体" w:cs="宋体"/>
        </w:rPr>
      </w:r>
      <w:r/>
    </w:p>
    <w:p>
      <w:pPr>
        <w:pStyle w:val="859"/>
        <w:jc w:val="center"/>
        <w:rPr>
          <w:rFonts w:ascii="宋体" w:hAnsi="宋体" w:cs="宋体"/>
          <w:b/>
          <w:bCs/>
          <w:color w:val="000000"/>
          <w:spacing w:val="20"/>
          <w:sz w:val="30"/>
          <w:szCs w:val="30"/>
        </w:rPr>
      </w:pPr>
      <w:r>
        <w:rPr>
          <w:rFonts w:ascii="宋体" w:hAnsi="宋体" w:cs="宋体"/>
          <w:b/>
          <w:bCs/>
          <w:color w:val="000000"/>
          <w:spacing w:val="20"/>
          <w:sz w:val="30"/>
          <w:szCs w:val="30"/>
        </w:rPr>
        <w:t xml:space="preserve"> </w:t>
      </w:r>
      <w:r>
        <w:rPr>
          <w:rFonts w:hint="eastAsia" w:ascii="宋体" w:hAnsi="宋体" w:eastAsia="宋体" w:cs="宋体"/>
          <w:b/>
          <w:bCs/>
          <w:color w:val="000000"/>
          <w:spacing w:val="20"/>
          <w:sz w:val="30"/>
          <w:szCs w:val="30"/>
        </w:rPr>
        <w:t xml:space="preserve">前</w:t>
      </w:r>
      <w:r>
        <w:rPr>
          <w:rFonts w:ascii="宋体" w:hAnsi="宋体" w:cs="宋体"/>
          <w:b/>
          <w:bCs/>
          <w:color w:val="000000"/>
          <w:spacing w:val="20"/>
          <w:sz w:val="30"/>
          <w:szCs w:val="30"/>
        </w:rPr>
        <w:t xml:space="preserve"> </w:t>
      </w:r>
      <w:r>
        <w:rPr>
          <w:rFonts w:hint="eastAsia" w:ascii="宋体" w:hAnsi="宋体" w:eastAsia="宋体" w:cs="宋体"/>
          <w:b/>
          <w:bCs/>
          <w:color w:val="000000"/>
          <w:spacing w:val="20"/>
          <w:sz w:val="30"/>
          <w:szCs w:val="30"/>
        </w:rPr>
        <w:t xml:space="preserve">附</w:t>
      </w:r>
      <w:r>
        <w:rPr>
          <w:rFonts w:ascii="宋体" w:hAnsi="宋体" w:cs="宋体"/>
          <w:b/>
          <w:bCs/>
          <w:color w:val="000000"/>
          <w:spacing w:val="20"/>
          <w:sz w:val="30"/>
          <w:szCs w:val="30"/>
        </w:rPr>
        <w:t xml:space="preserve"> </w:t>
      </w:r>
      <w:r>
        <w:rPr>
          <w:rFonts w:hint="eastAsia" w:ascii="宋体" w:hAnsi="宋体" w:eastAsia="宋体" w:cs="宋体"/>
          <w:b/>
          <w:bCs/>
          <w:color w:val="000000"/>
          <w:spacing w:val="20"/>
          <w:sz w:val="30"/>
          <w:szCs w:val="30"/>
        </w:rPr>
        <w:t xml:space="preserve">表</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下述关于要采购的230省道吴江收费站、258省道桃源收费站财政电子票据改革收费系统改造项目的具体资料是对招标文件第一部分投标邀请函的具体补充和修改，如果有矛盾的话，应以本附表为准。</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173"/>
        <w:gridCol w:w="7002"/>
      </w:tblGrid>
      <w:tr>
        <w:trPr>
          <w:trHeight w:val="624"/>
        </w:trPr>
        <w:tc>
          <w:tcPr>
            <w:tcW w:w="943" w:type="dxa"/>
            <w:vAlign w:val="center"/>
            <w:textDirection w:val="lrTb"/>
            <w:noWrap w:val="false"/>
          </w:tcPr>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序号</w:t>
            </w:r>
            <w:r>
              <w:rPr>
                <w:rFonts w:ascii="宋体" w:hAnsi="宋体" w:cs="宋体"/>
              </w:rPr>
            </w:r>
            <w:r/>
          </w:p>
        </w:tc>
        <w:tc>
          <w:tcPr>
            <w:tcW w:w="2173" w:type="dxa"/>
            <w:vAlign w:val="center"/>
            <w:textDirection w:val="lrTb"/>
            <w:noWrap w:val="false"/>
          </w:tcPr>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项目名称</w:t>
            </w:r>
            <w:r>
              <w:rPr>
                <w:rFonts w:ascii="宋体" w:hAnsi="宋体" w:cs="宋体"/>
              </w:rPr>
            </w:r>
            <w:r/>
          </w:p>
        </w:tc>
        <w:tc>
          <w:tcPr>
            <w:tcW w:w="7002" w:type="dxa"/>
            <w:vAlign w:val="center"/>
            <w:textDirection w:val="lrTb"/>
            <w:noWrap w:val="false"/>
          </w:tcPr>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内               容</w:t>
            </w:r>
            <w:r>
              <w:rPr>
                <w:rFonts w:ascii="宋体" w:hAnsi="宋体" w:cs="宋体"/>
              </w:rPr>
            </w:r>
            <w:r/>
          </w:p>
        </w:tc>
      </w:tr>
      <w:tr>
        <w:trPr>
          <w:cantSplit/>
          <w:trHeight w:val="624"/>
        </w:trPr>
        <w:tc>
          <w:tcPr>
            <w:tcW w:w="943" w:type="dxa"/>
            <w:vAlign w:val="center"/>
            <w:textDirection w:val="lrTb"/>
            <w:noWrap w:val="false"/>
          </w:tcPr>
          <w:p>
            <w:pPr>
              <w:pStyle w:val="916"/>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lang w:val="en-US" w:eastAsia="zh-CN"/>
              </w:rPr>
              <w:t xml:space="preserve">1</w:t>
            </w:r>
            <w:r>
              <w:rPr>
                <w:rFonts w:ascii="宋体" w:hAnsi="宋体" w:cs="宋体"/>
              </w:rPr>
            </w:r>
            <w:r/>
          </w:p>
        </w:tc>
        <w:tc>
          <w:tcPr>
            <w:tcW w:w="2173" w:type="dxa"/>
            <w:vAlign w:val="center"/>
            <w:textDirection w:val="lrTb"/>
            <w:noWrap w:val="false"/>
          </w:tcPr>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项目编号</w:t>
            </w:r>
            <w:r>
              <w:rPr>
                <w:rFonts w:ascii="宋体" w:hAnsi="宋体" w:cs="宋体"/>
              </w:rPr>
            </w:r>
            <w:r/>
          </w:p>
        </w:tc>
        <w:tc>
          <w:tcPr>
            <w:tcW w:w="7002" w:type="dxa"/>
            <w:vAlign w:val="center"/>
            <w:textDirection w:val="lrTb"/>
            <w:noWrap w:val="false"/>
          </w:tcPr>
          <w:p>
            <w:pPr>
              <w:pStyle w:val="916"/>
              <w:ind w:firstLine="0"/>
              <w:spacing w:line="440" w:lineRule="exact"/>
              <w:rPr>
                <w:rFonts w:ascii="宋体" w:hAnsi="宋体" w:cs="宋体"/>
                <w:color w:val="000000"/>
                <w:sz w:val="21"/>
                <w:szCs w:val="21"/>
              </w:rPr>
            </w:pPr>
            <w:r>
              <w:rPr>
                <w:rFonts w:hint="eastAsia" w:ascii="宋体" w:hAnsi="宋体" w:cs="宋体"/>
                <w:color w:val="000000"/>
                <w:sz w:val="21"/>
                <w:szCs w:val="21"/>
                <w:lang w:val="en-US" w:eastAsia="zh-CN"/>
              </w:rPr>
              <w:t xml:space="preserve">JSZC-320509-SXHC-G2025-0023</w:t>
            </w:r>
            <w:r>
              <w:rPr>
                <w:rFonts w:ascii="宋体" w:hAnsi="宋体" w:cs="宋体"/>
              </w:rPr>
            </w:r>
            <w:r/>
          </w:p>
        </w:tc>
      </w:tr>
      <w:tr>
        <w:trPr>
          <w:cantSplit/>
          <w:trHeight w:val="624"/>
        </w:trPr>
        <w:tc>
          <w:tcPr>
            <w:tcW w:w="943" w:type="dxa"/>
            <w:vAlign w:val="center"/>
            <w:textDirection w:val="lrTb"/>
            <w:noWrap w:val="false"/>
          </w:tcPr>
          <w:p>
            <w:pPr>
              <w:pStyle w:val="916"/>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lang w:val="en-US" w:eastAsia="zh-CN"/>
              </w:rPr>
              <w:t xml:space="preserve">2</w:t>
            </w:r>
            <w:r>
              <w:rPr>
                <w:rFonts w:ascii="宋体" w:hAnsi="宋体" w:cs="宋体"/>
              </w:rPr>
            </w:r>
            <w:r/>
          </w:p>
        </w:tc>
        <w:tc>
          <w:tcPr>
            <w:tcW w:w="2173" w:type="dxa"/>
            <w:vAlign w:val="center"/>
            <w:textDirection w:val="lrTb"/>
            <w:noWrap w:val="false"/>
          </w:tcPr>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项目名称</w:t>
            </w:r>
            <w:r>
              <w:rPr>
                <w:rFonts w:ascii="宋体" w:hAnsi="宋体" w:cs="宋体"/>
              </w:rPr>
            </w:r>
            <w:r/>
          </w:p>
        </w:tc>
        <w:tc>
          <w:tcPr>
            <w:tcW w:w="7002" w:type="dxa"/>
            <w:vAlign w:val="center"/>
            <w:textDirection w:val="lrTb"/>
            <w:noWrap w:val="false"/>
          </w:tcPr>
          <w:p>
            <w:pPr>
              <w:pStyle w:val="916"/>
              <w:ind w:firstLine="0"/>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230省道吴江收费站、258省道桃源收费站财政电子票据改革收费系统改造项目</w:t>
            </w:r>
            <w:r>
              <w:rPr>
                <w:rFonts w:ascii="宋体" w:hAnsi="宋体" w:cs="宋体"/>
              </w:rPr>
            </w:r>
            <w:r/>
          </w:p>
        </w:tc>
      </w:tr>
      <w:tr>
        <w:trPr>
          <w:cantSplit/>
          <w:trHeight w:val="624"/>
        </w:trPr>
        <w:tc>
          <w:tcPr>
            <w:tcW w:w="943" w:type="dxa"/>
            <w:vAlign w:val="center"/>
            <w:textDirection w:val="lrTb"/>
            <w:noWrap w:val="false"/>
          </w:tcPr>
          <w:p>
            <w:pPr>
              <w:pStyle w:val="916"/>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lang w:val="en-US" w:eastAsia="zh-CN"/>
              </w:rPr>
              <w:t xml:space="preserve">3</w:t>
            </w:r>
            <w:r>
              <w:rPr>
                <w:rFonts w:ascii="宋体" w:hAnsi="宋体" w:cs="宋体"/>
              </w:rPr>
            </w:r>
            <w:r/>
          </w:p>
        </w:tc>
        <w:tc>
          <w:tcPr>
            <w:tcW w:w="2173" w:type="dxa"/>
            <w:vAlign w:val="center"/>
            <w:textDirection w:val="lrTb"/>
            <w:noWrap w:val="false"/>
          </w:tcPr>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招标代理机构</w:t>
            </w:r>
            <w:r>
              <w:rPr>
                <w:rFonts w:ascii="宋体" w:hAnsi="宋体" w:cs="宋体"/>
              </w:rPr>
            </w:r>
            <w:r/>
          </w:p>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名称及地址</w:t>
            </w:r>
            <w:r>
              <w:rPr>
                <w:rFonts w:ascii="宋体" w:hAnsi="宋体" w:cs="宋体"/>
              </w:rPr>
            </w:r>
            <w:r/>
          </w:p>
        </w:tc>
        <w:tc>
          <w:tcPr>
            <w:tcW w:w="7002" w:type="dxa"/>
            <w:vAlign w:val="center"/>
            <w:textDirection w:val="lrTb"/>
            <w:noWrap w:val="false"/>
          </w:tcPr>
          <w:p>
            <w:pPr>
              <w:pStyle w:val="916"/>
              <w:ind w:firstLine="0"/>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名称：苏州欣禾诚工程咨询服务有限公司</w:t>
            </w:r>
            <w:r>
              <w:rPr>
                <w:rFonts w:ascii="宋体" w:hAnsi="宋体" w:cs="宋体"/>
              </w:rPr>
            </w:r>
            <w:r/>
          </w:p>
          <w:p>
            <w:pPr>
              <w:pStyle w:val="916"/>
              <w:ind w:firstLine="0"/>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地址：苏州市吴江区鲈乡南路2485号明珠大厦北楼1702A</w:t>
            </w:r>
            <w:r>
              <w:rPr>
                <w:rFonts w:ascii="宋体" w:hAnsi="宋体" w:cs="宋体"/>
              </w:rPr>
            </w:r>
            <w:r/>
          </w:p>
          <w:p>
            <w:pPr>
              <w:pStyle w:val="916"/>
              <w:ind w:firstLine="0"/>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邮编：215200</w:t>
            </w:r>
            <w:r>
              <w:rPr>
                <w:rFonts w:ascii="宋体" w:hAnsi="宋体" w:cs="宋体"/>
              </w:rPr>
            </w:r>
            <w:r/>
          </w:p>
          <w:p>
            <w:pPr>
              <w:pStyle w:val="916"/>
              <w:ind w:firstLine="0"/>
              <w:spacing w:line="440" w:lineRule="exact"/>
              <w:tabs>
                <w:tab w:val="center" w:pos="3393" w:leader="none"/>
              </w:tabs>
              <w:rPr>
                <w:rFonts w:ascii="宋体" w:hAnsi="宋体" w:cs="宋体"/>
                <w:color w:val="000000"/>
                <w:sz w:val="21"/>
                <w:szCs w:val="21"/>
              </w:rPr>
            </w:pPr>
            <w:r>
              <w:rPr>
                <w:rFonts w:ascii="宋体" w:hAnsi="宋体" w:eastAsia="宋体" w:cs="宋体"/>
                <w:color w:val="000000"/>
                <w:sz w:val="21"/>
                <w:szCs w:val="21"/>
                <w:lang w:val="en-US" w:eastAsia="zh-CN"/>
              </w:rPr>
              <w:t xml:space="preserve">电话：0512-63659266</w:t>
            </w:r>
            <w:r>
              <w:rPr>
                <w:rFonts w:ascii="宋体" w:hAnsi="宋体" w:cs="宋体"/>
                <w:color w:val="000000"/>
                <w:sz w:val="21"/>
                <w:szCs w:val="21"/>
                <w:lang w:val="en-US" w:eastAsia="zh-CN"/>
              </w:rPr>
              <w:tab/>
            </w:r>
            <w:r>
              <w:rPr>
                <w:rFonts w:ascii="宋体" w:hAnsi="宋体" w:cs="宋体"/>
              </w:rPr>
            </w:r>
            <w:r/>
          </w:p>
          <w:p>
            <w:pPr>
              <w:pStyle w:val="916"/>
              <w:ind w:firstLine="0"/>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联系人：朱思薇、吴清芬</w:t>
            </w:r>
            <w:r>
              <w:rPr>
                <w:rFonts w:ascii="宋体" w:hAnsi="宋体" w:cs="宋体"/>
              </w:rPr>
            </w:r>
            <w:r/>
          </w:p>
        </w:tc>
      </w:tr>
      <w:tr>
        <w:trPr>
          <w:cantSplit/>
          <w:trHeight w:val="624"/>
        </w:trPr>
        <w:tc>
          <w:tcPr>
            <w:tcW w:w="943" w:type="dxa"/>
            <w:vAlign w:val="center"/>
            <w:textDirection w:val="lrTb"/>
            <w:noWrap w:val="false"/>
          </w:tcPr>
          <w:p>
            <w:pPr>
              <w:pStyle w:val="916"/>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lang w:val="en-US" w:eastAsia="zh-CN"/>
              </w:rPr>
              <w:t xml:space="preserve">4</w:t>
            </w:r>
            <w:r>
              <w:rPr>
                <w:rFonts w:ascii="宋体" w:hAnsi="宋体" w:cs="宋体"/>
              </w:rPr>
            </w:r>
            <w:r/>
          </w:p>
        </w:tc>
        <w:tc>
          <w:tcPr>
            <w:tcW w:w="2173" w:type="dxa"/>
            <w:vAlign w:val="center"/>
            <w:textDirection w:val="lrTb"/>
            <w:noWrap w:val="false"/>
          </w:tcPr>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采购单位</w:t>
            </w:r>
            <w:r>
              <w:rPr>
                <w:rFonts w:ascii="宋体" w:hAnsi="宋体" w:cs="宋体"/>
              </w:rPr>
            </w:r>
            <w:r/>
          </w:p>
        </w:tc>
        <w:tc>
          <w:tcPr>
            <w:tcW w:w="7002" w:type="dxa"/>
            <w:vAlign w:val="center"/>
            <w:textDirection w:val="lrTb"/>
            <w:noWrap w:val="false"/>
          </w:tcPr>
          <w:p>
            <w:pPr>
              <w:pStyle w:val="916"/>
              <w:ind w:firstLine="0"/>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名称：苏州市吴江区公路事业发展中心</w:t>
            </w:r>
            <w:r>
              <w:rPr>
                <w:rFonts w:ascii="宋体" w:hAnsi="宋体" w:cs="宋体"/>
              </w:rPr>
            </w:r>
            <w:r/>
          </w:p>
          <w:p>
            <w:pPr>
              <w:pStyle w:val="916"/>
              <w:ind w:firstLine="0"/>
              <w:spacing w:line="440" w:lineRule="exact"/>
              <w:rPr>
                <w:rFonts w:ascii="宋体" w:hAnsi="宋体" w:cs="宋体"/>
                <w:color w:val="000000"/>
                <w:sz w:val="21"/>
                <w:szCs w:val="21"/>
              </w:rPr>
            </w:pPr>
            <w:r>
              <w:rPr>
                <w:rFonts w:ascii="宋体" w:hAnsi="宋体" w:cs="宋体"/>
              </w:rPr>
            </w:r>
            <w:bookmarkStart w:id="0" w:name="OLE_LINK1"/>
            <w:r>
              <w:rPr>
                <w:rFonts w:ascii="宋体" w:hAnsi="宋体" w:eastAsia="宋体" w:cs="宋体"/>
                <w:color w:val="000000"/>
                <w:sz w:val="21"/>
                <w:szCs w:val="21"/>
                <w:lang w:val="en-US" w:eastAsia="zh-CN"/>
              </w:rPr>
              <w:t xml:space="preserve">联系人：蒯乐、颜誉           联系电话：0512-63028287</w:t>
            </w:r>
            <w:r>
              <w:rPr>
                <w:rFonts w:ascii="宋体" w:hAnsi="宋体" w:cs="宋体"/>
              </w:rPr>
            </w:r>
            <w:r/>
          </w:p>
          <w:p>
            <w:pPr>
              <w:pStyle w:val="916"/>
              <w:ind w:firstLine="0"/>
              <w:spacing w:line="440" w:lineRule="exact"/>
              <w:rPr>
                <w:rFonts w:ascii="宋体" w:hAnsi="宋体" w:cs="宋体"/>
                <w:color w:val="000000"/>
                <w:sz w:val="21"/>
                <w:szCs w:val="21"/>
              </w:rPr>
            </w:pPr>
            <w:r>
              <w:rPr>
                <w:rFonts w:ascii="宋体" w:hAnsi="宋体" w:cs="宋体"/>
              </w:rPr>
            </w:r>
            <w:bookmarkEnd w:id="0"/>
            <w:r>
              <w:rPr>
                <w:rFonts w:ascii="宋体" w:hAnsi="宋体" w:eastAsia="宋体" w:cs="宋体"/>
                <w:color w:val="000000"/>
                <w:sz w:val="21"/>
                <w:szCs w:val="21"/>
                <w:lang w:val="en-US" w:eastAsia="zh-CN"/>
              </w:rPr>
              <w:t xml:space="preserve">地址：</w:t>
            </w:r>
            <w:r>
              <w:rPr>
                <w:rFonts w:ascii="宋体" w:hAnsi="宋体" w:eastAsia="宋体" w:cs="宋体"/>
                <w:color w:val="000000"/>
                <w:sz w:val="21"/>
                <w:szCs w:val="21"/>
                <w:lang w:val="en-US" w:eastAsia="zh-CN"/>
              </w:rPr>
              <w:t xml:space="preserve">苏州市吴江区云梨路1917号</w:t>
            </w:r>
            <w:r>
              <w:rPr>
                <w:rFonts w:ascii="宋体" w:hAnsi="宋体" w:cs="宋体"/>
              </w:rPr>
            </w:r>
            <w:r/>
          </w:p>
        </w:tc>
      </w:tr>
      <w:tr>
        <w:trPr>
          <w:cantSplit/>
          <w:trHeight w:val="624"/>
        </w:trPr>
        <w:tc>
          <w:tcPr>
            <w:tcW w:w="943" w:type="dxa"/>
            <w:vAlign w:val="center"/>
            <w:textDirection w:val="lrTb"/>
            <w:noWrap w:val="false"/>
          </w:tcPr>
          <w:p>
            <w:pPr>
              <w:pStyle w:val="916"/>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lang w:val="en-US" w:eastAsia="zh-CN"/>
              </w:rPr>
              <w:t xml:space="preserve">5</w:t>
            </w:r>
            <w:r>
              <w:rPr>
                <w:rFonts w:ascii="宋体" w:hAnsi="宋体" w:cs="宋体"/>
              </w:rPr>
            </w:r>
            <w:r/>
          </w:p>
        </w:tc>
        <w:tc>
          <w:tcPr>
            <w:tcW w:w="2173" w:type="dxa"/>
            <w:vAlign w:val="center"/>
            <w:textDirection w:val="lrTb"/>
            <w:noWrap w:val="false"/>
          </w:tcPr>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标书组成</w:t>
            </w:r>
            <w:r>
              <w:rPr>
                <w:rFonts w:ascii="宋体" w:hAnsi="宋体" w:cs="宋体"/>
              </w:rPr>
            </w:r>
            <w:r/>
          </w:p>
        </w:tc>
        <w:tc>
          <w:tcPr>
            <w:tcW w:w="7002" w:type="dxa"/>
            <w:vAlign w:val="center"/>
            <w:textDirection w:val="lrTb"/>
            <w:noWrap w:val="false"/>
          </w:tcPr>
          <w:p>
            <w:pPr>
              <w:pStyle w:val="859"/>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详见招标文件第二章</w:t>
            </w:r>
            <w:r>
              <w:rPr>
                <w:rFonts w:ascii="宋体" w:hAnsi="宋体" w:cs="宋体"/>
              </w:rPr>
            </w:r>
            <w:r/>
          </w:p>
        </w:tc>
      </w:tr>
      <w:tr>
        <w:trPr>
          <w:cantSplit/>
          <w:trHeight w:val="624"/>
        </w:trPr>
        <w:tc>
          <w:tcPr>
            <w:tcW w:w="943" w:type="dxa"/>
            <w:vAlign w:val="center"/>
            <w:textDirection w:val="lrTb"/>
            <w:noWrap w:val="false"/>
          </w:tcPr>
          <w:p>
            <w:pPr>
              <w:pStyle w:val="916"/>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lang w:val="en-US" w:eastAsia="zh-CN"/>
              </w:rPr>
              <w:t xml:space="preserve">6</w:t>
            </w:r>
            <w:r>
              <w:rPr>
                <w:rFonts w:ascii="宋体" w:hAnsi="宋体" w:cs="宋体"/>
              </w:rPr>
            </w:r>
            <w:r/>
          </w:p>
        </w:tc>
        <w:tc>
          <w:tcPr>
            <w:tcW w:w="2173" w:type="dxa"/>
            <w:vAlign w:val="center"/>
            <w:textDirection w:val="lrTb"/>
            <w:noWrap w:val="false"/>
          </w:tcPr>
          <w:p>
            <w:pPr>
              <w:pStyle w:val="916"/>
              <w:ind w:firstLine="420"/>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投标保证金</w:t>
            </w:r>
            <w:r>
              <w:rPr>
                <w:rFonts w:ascii="宋体" w:hAnsi="宋体" w:cs="宋体"/>
              </w:rPr>
            </w:r>
            <w:r/>
          </w:p>
        </w:tc>
        <w:tc>
          <w:tcPr>
            <w:tcW w:w="7002" w:type="dxa"/>
            <w:vAlign w:val="center"/>
            <w:textDirection w:val="lrTb"/>
            <w:noWrap w:val="false"/>
          </w:tcPr>
          <w:p>
            <w:pPr>
              <w:pStyle w:val="859"/>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本项目无须缴纳投标保证金，须提供《投标（响应）保证承诺书》（格式见第三章投标文件格式）。</w:t>
            </w:r>
            <w:r>
              <w:rPr>
                <w:rFonts w:ascii="宋体" w:hAnsi="宋体" w:cs="宋体"/>
              </w:rPr>
            </w:r>
            <w:r/>
          </w:p>
        </w:tc>
      </w:tr>
      <w:tr>
        <w:trPr>
          <w:cantSplit/>
          <w:trHeight w:val="624"/>
        </w:trPr>
        <w:tc>
          <w:tcPr>
            <w:tcW w:w="943" w:type="dxa"/>
            <w:vAlign w:val="center"/>
            <w:textDirection w:val="lrTb"/>
            <w:noWrap w:val="false"/>
          </w:tcPr>
          <w:p>
            <w:pPr>
              <w:pStyle w:val="916"/>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lang w:val="en-US" w:eastAsia="zh-CN"/>
              </w:rPr>
              <w:t xml:space="preserve">7</w:t>
            </w:r>
            <w:r>
              <w:rPr>
                <w:rFonts w:ascii="宋体" w:hAnsi="宋体" w:cs="宋体"/>
              </w:rPr>
            </w:r>
            <w:r/>
          </w:p>
        </w:tc>
        <w:tc>
          <w:tcPr>
            <w:tcW w:w="2173" w:type="dxa"/>
            <w:vAlign w:val="center"/>
            <w:textDirection w:val="lrTb"/>
            <w:noWrap w:val="false"/>
          </w:tcPr>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投标有效期</w:t>
            </w:r>
            <w:r>
              <w:rPr>
                <w:rFonts w:ascii="宋体" w:hAnsi="宋体" w:cs="宋体"/>
              </w:rPr>
            </w:r>
            <w:r/>
          </w:p>
        </w:tc>
        <w:tc>
          <w:tcPr>
            <w:tcW w:w="7002" w:type="dxa"/>
            <w:vAlign w:val="center"/>
            <w:textDirection w:val="lrTb"/>
            <w:noWrap w:val="false"/>
          </w:tcPr>
          <w:p>
            <w:pPr>
              <w:pStyle w:val="916"/>
              <w:ind w:firstLine="0"/>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提交投标文件的截止之日起九十日内。</w:t>
            </w:r>
            <w:r>
              <w:rPr>
                <w:rFonts w:ascii="宋体" w:hAnsi="宋体" w:cs="宋体"/>
              </w:rPr>
            </w:r>
            <w:r/>
          </w:p>
        </w:tc>
      </w:tr>
      <w:tr>
        <w:trPr>
          <w:cantSplit/>
          <w:trHeight w:val="624"/>
        </w:trPr>
        <w:tc>
          <w:tcPr>
            <w:tcW w:w="943" w:type="dxa"/>
            <w:vAlign w:val="center"/>
            <w:textDirection w:val="lrTb"/>
            <w:noWrap w:val="false"/>
          </w:tcPr>
          <w:p>
            <w:pPr>
              <w:pStyle w:val="916"/>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lang w:val="en-US" w:eastAsia="zh-CN"/>
              </w:rPr>
              <w:t xml:space="preserve">8</w:t>
            </w:r>
            <w:r>
              <w:rPr>
                <w:rFonts w:ascii="宋体" w:hAnsi="宋体" w:cs="宋体"/>
              </w:rPr>
            </w:r>
            <w:r/>
          </w:p>
        </w:tc>
        <w:tc>
          <w:tcPr>
            <w:tcW w:w="217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获取招标文件时间</w:t>
            </w:r>
            <w:r>
              <w:rPr>
                <w:rFonts w:ascii="宋体" w:hAnsi="宋体" w:cs="宋体"/>
              </w:rPr>
            </w:r>
            <w:r/>
          </w:p>
        </w:tc>
        <w:tc>
          <w:tcPr>
            <w:tcW w:w="7002" w:type="dxa"/>
            <w:vAlign w:val="center"/>
            <w:textDirection w:val="lrTb"/>
            <w:noWrap w:val="false"/>
          </w:tcPr>
          <w:p>
            <w:pPr>
              <w:pStyle w:val="916"/>
              <w:ind w:firstLine="0"/>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自招标公告发布之日起5个工作日。</w:t>
            </w:r>
            <w:r>
              <w:rPr>
                <w:rFonts w:ascii="宋体" w:hAnsi="宋体" w:cs="宋体"/>
              </w:rPr>
            </w:r>
            <w:r/>
          </w:p>
        </w:tc>
      </w:tr>
      <w:tr>
        <w:trPr>
          <w:cantSplit/>
          <w:trHeight w:val="624"/>
        </w:trPr>
        <w:tc>
          <w:tcPr>
            <w:tcW w:w="943" w:type="dxa"/>
            <w:vAlign w:val="center"/>
            <w:textDirection w:val="lrTb"/>
            <w:noWrap w:val="false"/>
          </w:tcPr>
          <w:p>
            <w:pPr>
              <w:pStyle w:val="916"/>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lang w:val="en-US" w:eastAsia="zh-CN"/>
              </w:rPr>
              <w:t xml:space="preserve">9</w:t>
            </w:r>
            <w:r>
              <w:rPr>
                <w:rFonts w:ascii="宋体" w:hAnsi="宋体" w:cs="宋体"/>
              </w:rPr>
            </w:r>
            <w:r/>
          </w:p>
        </w:tc>
        <w:tc>
          <w:tcPr>
            <w:tcW w:w="217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投标文件网上</w:t>
            </w:r>
            <w:r>
              <w:rPr>
                <w:rFonts w:ascii="宋体" w:hAnsi="宋体" w:cs="宋体"/>
              </w:rPr>
            </w:r>
            <w:r/>
          </w:p>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提交截止时间</w:t>
            </w:r>
            <w:r>
              <w:rPr>
                <w:rFonts w:ascii="宋体" w:hAnsi="宋体" w:cs="宋体"/>
              </w:rPr>
            </w:r>
            <w:r/>
          </w:p>
        </w:tc>
        <w:tc>
          <w:tcPr>
            <w:tcW w:w="7002" w:type="dxa"/>
            <w:vAlign w:val="center"/>
            <w:textDirection w:val="lrTb"/>
            <w:noWrap w:val="false"/>
          </w:tcPr>
          <w:p>
            <w:pPr>
              <w:pStyle w:val="916"/>
              <w:ind w:firstLine="0"/>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2025年10月31日13：30</w:t>
            </w:r>
            <w:r>
              <w:rPr>
                <w:rFonts w:ascii="宋体" w:hAnsi="宋体" w:cs="宋体"/>
              </w:rPr>
            </w:r>
            <w:r/>
          </w:p>
          <w:p>
            <w:pPr>
              <w:pStyle w:val="916"/>
              <w:ind w:firstLine="0"/>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投标文件必须在截止时间前完成提交（上传），逾期提交（上传）的投标文件恕不接受。</w:t>
            </w:r>
            <w:r>
              <w:rPr>
                <w:rFonts w:ascii="宋体" w:hAnsi="宋体" w:cs="宋体"/>
              </w:rPr>
            </w:r>
            <w:r/>
          </w:p>
        </w:tc>
      </w:tr>
      <w:tr>
        <w:trPr>
          <w:cantSplit/>
          <w:trHeight w:val="624"/>
        </w:trPr>
        <w:tc>
          <w:tcPr>
            <w:tcW w:w="943" w:type="dxa"/>
            <w:vAlign w:val="center"/>
            <w:textDirection w:val="lrTb"/>
            <w:noWrap w:val="false"/>
          </w:tcPr>
          <w:p>
            <w:pPr>
              <w:pStyle w:val="916"/>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lang w:val="en-US" w:eastAsia="zh-CN"/>
              </w:rPr>
              <w:t xml:space="preserve">10</w:t>
            </w:r>
            <w:r>
              <w:rPr>
                <w:rFonts w:ascii="宋体" w:hAnsi="宋体" w:cs="宋体"/>
              </w:rPr>
            </w:r>
            <w:r/>
          </w:p>
        </w:tc>
        <w:tc>
          <w:tcPr>
            <w:tcW w:w="217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开标时间</w:t>
            </w:r>
            <w:r>
              <w:rPr>
                <w:rFonts w:ascii="宋体" w:hAnsi="宋体" w:cs="宋体"/>
              </w:rPr>
            </w:r>
            <w:r/>
          </w:p>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开标地点</w:t>
            </w:r>
            <w:r>
              <w:rPr>
                <w:rFonts w:ascii="宋体" w:hAnsi="宋体" w:cs="宋体"/>
              </w:rPr>
            </w:r>
            <w:r/>
          </w:p>
        </w:tc>
        <w:tc>
          <w:tcPr>
            <w:tcW w:w="7002" w:type="dxa"/>
            <w:vAlign w:val="center"/>
            <w:textDirection w:val="lrTb"/>
            <w:noWrap w:val="false"/>
          </w:tcPr>
          <w:p>
            <w:pPr>
              <w:pStyle w:val="916"/>
              <w:ind w:firstLine="0"/>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2025年10月31日13：30</w:t>
            </w:r>
            <w:r>
              <w:rPr>
                <w:rFonts w:ascii="宋体" w:hAnsi="宋体" w:cs="宋体"/>
              </w:rPr>
            </w:r>
            <w:r/>
          </w:p>
          <w:p>
            <w:pPr>
              <w:pStyle w:val="916"/>
              <w:ind w:firstLine="0"/>
              <w:spacing w:line="440" w:lineRule="exact"/>
              <w:rPr>
                <w:rFonts w:ascii="宋体" w:hAnsi="宋体" w:cs="宋体"/>
                <w:color w:val="000000"/>
                <w:sz w:val="21"/>
                <w:szCs w:val="21"/>
              </w:rPr>
            </w:pPr>
            <w:r>
              <w:rPr>
                <w:rFonts w:ascii="宋体" w:hAnsi="宋体" w:eastAsia="宋体" w:cs="宋体"/>
                <w:b/>
                <w:bCs/>
                <w:color w:val="000000"/>
                <w:sz w:val="21"/>
                <w:szCs w:val="21"/>
                <w:lang w:val="en-US" w:eastAsia="zh-CN"/>
              </w:rPr>
              <w:t xml:space="preserve">“苏采云政府采购一体化平台”系统（网址：</w:t>
            </w:r>
            <w:r>
              <w:rPr>
                <w:rFonts w:ascii="宋体" w:hAnsi="宋体" w:cs="宋体"/>
                <w:b/>
                <w:bCs/>
                <w:color w:val="000000"/>
                <w:sz w:val="21"/>
                <w:szCs w:val="21"/>
                <w:lang w:val="en-US" w:eastAsia="zh-CN"/>
              </w:rPr>
              <w:fldChar w:fldCharType="begin"/>
            </w:r>
            <w:r>
              <w:rPr>
                <w:rFonts w:ascii="宋体" w:hAnsi="宋体" w:cs="宋体"/>
                <w:b/>
                <w:bCs/>
                <w:color w:val="000000"/>
                <w:sz w:val="21"/>
                <w:szCs w:val="21"/>
                <w:lang w:val="en-US" w:eastAsia="zh-CN"/>
              </w:rPr>
              <w:instrText xml:space="preserve"> HYPERLINK "http://jszfcg.jsczt.cn/）" </w:instrText>
            </w:r>
            <w:r>
              <w:rPr>
                <w:rFonts w:ascii="宋体" w:hAnsi="宋体" w:cs="宋体"/>
                <w:b/>
                <w:bCs/>
                <w:color w:val="000000"/>
                <w:sz w:val="21"/>
                <w:szCs w:val="21"/>
                <w:lang w:val="en-US" w:eastAsia="zh-CN"/>
              </w:rPr>
              <w:fldChar w:fldCharType="separate"/>
            </w:r>
            <w:r>
              <w:rPr>
                <w:rFonts w:ascii="宋体" w:hAnsi="宋体" w:eastAsia="宋体" w:cs="宋体"/>
                <w:b/>
                <w:bCs/>
                <w:color w:val="000000"/>
                <w:sz w:val="21"/>
                <w:szCs w:val="21"/>
                <w:lang w:val="en-US" w:eastAsia="zh-CN"/>
              </w:rPr>
              <w:t xml:space="preserve">http：//jszfcg.jsczt.cn/）</w:t>
            </w:r>
            <w:r>
              <w:rPr>
                <w:rFonts w:ascii="宋体" w:hAnsi="宋体" w:cs="宋体"/>
                <w:b/>
                <w:bCs/>
                <w:color w:val="000000"/>
                <w:sz w:val="21"/>
                <w:szCs w:val="21"/>
                <w:lang w:val="en-US" w:eastAsia="zh-CN"/>
              </w:rPr>
              <w:fldChar w:fldCharType="end"/>
            </w:r>
            <w:r>
              <w:rPr>
                <w:rFonts w:ascii="宋体" w:hAnsi="宋体" w:eastAsia="宋体" w:cs="宋体"/>
                <w:b/>
                <w:bCs/>
                <w:color w:val="000000"/>
                <w:sz w:val="21"/>
                <w:szCs w:val="21"/>
                <w:lang w:val="en-US" w:eastAsia="zh-CN"/>
              </w:rPr>
              <w:t xml:space="preserve">，本项目为不见面开标项目，开启阶段供应商在【供应商解密】环节必须使用CA证书解密电子投标文件，如在系统规定的解密时间（投标文件提交截止时间后30分钟）内未能完成解密的视为放弃参与本项目。</w:t>
            </w:r>
            <w:r>
              <w:rPr>
                <w:rFonts w:ascii="宋体" w:hAnsi="宋体" w:cs="宋体"/>
              </w:rPr>
            </w:r>
            <w:r/>
          </w:p>
        </w:tc>
      </w:tr>
      <w:tr>
        <w:trPr>
          <w:cantSplit/>
          <w:trHeight w:val="1417"/>
        </w:trPr>
        <w:tc>
          <w:tcPr>
            <w:tcW w:w="94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11</w:t>
            </w:r>
            <w:r>
              <w:rPr>
                <w:rFonts w:ascii="宋体" w:hAnsi="宋体" w:cs="宋体"/>
              </w:rPr>
            </w:r>
            <w:r/>
          </w:p>
        </w:tc>
        <w:tc>
          <w:tcPr>
            <w:tcW w:w="217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评标时间</w:t>
            </w:r>
            <w:r>
              <w:rPr>
                <w:rFonts w:ascii="宋体" w:hAnsi="宋体" w:cs="宋体"/>
              </w:rPr>
            </w:r>
            <w:r/>
          </w:p>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评标地点</w:t>
            </w:r>
            <w:r>
              <w:rPr>
                <w:rFonts w:ascii="宋体" w:hAnsi="宋体" w:cs="宋体"/>
              </w:rPr>
            </w:r>
            <w:r/>
          </w:p>
        </w:tc>
        <w:tc>
          <w:tcPr>
            <w:tcW w:w="7002" w:type="dxa"/>
            <w:vAlign w:val="center"/>
            <w:textDirection w:val="lrTb"/>
            <w:noWrap w:val="false"/>
          </w:tcPr>
          <w:p>
            <w:pPr>
              <w:pStyle w:val="859"/>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2025年10月31日13：30</w:t>
            </w:r>
            <w:r>
              <w:rPr>
                <w:rFonts w:ascii="宋体" w:hAnsi="宋体" w:cs="宋体"/>
              </w:rPr>
            </w:r>
            <w:r/>
          </w:p>
          <w:p>
            <w:pPr>
              <w:pStyle w:val="859"/>
              <w:jc w:val="left"/>
              <w:spacing w:line="440" w:lineRule="exact"/>
              <w:rPr>
                <w:rFonts w:hint="eastAsia" w:ascii="宋体" w:hAnsi="宋体" w:cs="宋体"/>
                <w:b/>
                <w:bCs/>
                <w:color w:val="000000"/>
                <w:sz w:val="21"/>
                <w:szCs w:val="21"/>
              </w:rPr>
            </w:pPr>
            <w:r>
              <w:rPr>
                <w:rFonts w:hint="eastAsia" w:ascii="宋体" w:hAnsi="宋体" w:eastAsia="宋体" w:cs="宋体"/>
                <w:color w:val="000000"/>
                <w:sz w:val="21"/>
                <w:szCs w:val="21"/>
              </w:rPr>
              <w:t xml:space="preserve">苏州市吴江区开平路998号行政服务大楼3楼开标室（苏州市公共资源交易中心吴江分中心）</w:t>
            </w:r>
            <w:r>
              <w:rPr>
                <w:rFonts w:ascii="宋体" w:hAnsi="宋体" w:cs="宋体"/>
              </w:rPr>
            </w:r>
            <w:r/>
          </w:p>
        </w:tc>
      </w:tr>
      <w:tr>
        <w:trPr>
          <w:cantSplit/>
          <w:trHeight w:val="1814"/>
        </w:trPr>
        <w:tc>
          <w:tcPr>
            <w:tcW w:w="943" w:type="dxa"/>
            <w:vAlign w:val="center"/>
            <w:textDirection w:val="lrTb"/>
            <w:noWrap w:val="false"/>
          </w:tcPr>
          <w:p>
            <w:pPr>
              <w:pStyle w:val="916"/>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lang w:val="en-US" w:eastAsia="zh-CN"/>
              </w:rPr>
              <w:t xml:space="preserve">12</w:t>
            </w:r>
            <w:r>
              <w:rPr>
                <w:rFonts w:ascii="宋体" w:hAnsi="宋体" w:cs="宋体"/>
              </w:rPr>
            </w:r>
            <w:r/>
          </w:p>
        </w:tc>
        <w:tc>
          <w:tcPr>
            <w:tcW w:w="2173" w:type="dxa"/>
            <w:vAlign w:val="center"/>
            <w:textDirection w:val="lrTb"/>
            <w:noWrap w:val="false"/>
          </w:tcPr>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投标文件份数</w:t>
            </w:r>
            <w:r>
              <w:rPr>
                <w:rFonts w:ascii="宋体" w:hAnsi="宋体" w:cs="宋体"/>
              </w:rPr>
            </w:r>
            <w:r/>
          </w:p>
        </w:tc>
        <w:tc>
          <w:tcPr>
            <w:tcW w:w="7002" w:type="dxa"/>
            <w:vAlign w:val="center"/>
            <w:textDirection w:val="lrTb"/>
            <w:noWrap w:val="false"/>
          </w:tcPr>
          <w:p>
            <w:pPr>
              <w:pStyle w:val="859"/>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本项目采用电子投标文件，投标人按照招标文件要求制作上传电子投标文件，投标人无需提供纸质投标文件。</w:t>
            </w:r>
            <w:r>
              <w:rPr>
                <w:rFonts w:ascii="宋体" w:hAnsi="宋体" w:cs="宋体"/>
              </w:rPr>
            </w:r>
            <w:r/>
          </w:p>
          <w:p>
            <w:pPr>
              <w:pStyle w:val="916"/>
              <w:ind w:firstLine="0"/>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中标后5个工作日内，中标单位向招标代理机构提供与电子投标文件内容一致的纸质投标文件两份。</w:t>
            </w:r>
            <w:r>
              <w:rPr>
                <w:rFonts w:ascii="宋体" w:hAnsi="宋体" w:cs="宋体"/>
              </w:rPr>
            </w:r>
            <w:r/>
          </w:p>
        </w:tc>
      </w:tr>
      <w:tr>
        <w:trPr>
          <w:cantSplit/>
          <w:trHeight w:val="680"/>
        </w:trPr>
        <w:tc>
          <w:tcPr>
            <w:tcW w:w="943" w:type="dxa"/>
            <w:vAlign w:val="center"/>
            <w:textDirection w:val="lrTb"/>
            <w:noWrap w:val="false"/>
          </w:tcPr>
          <w:p>
            <w:pPr>
              <w:pStyle w:val="916"/>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lang w:val="en-US" w:eastAsia="zh-CN"/>
              </w:rPr>
              <w:t xml:space="preserve">13</w:t>
            </w:r>
            <w:r>
              <w:rPr>
                <w:rFonts w:ascii="宋体" w:hAnsi="宋体" w:cs="宋体"/>
              </w:rPr>
            </w:r>
            <w:r/>
          </w:p>
        </w:tc>
        <w:tc>
          <w:tcPr>
            <w:tcW w:w="2173" w:type="dxa"/>
            <w:vAlign w:val="center"/>
            <w:textDirection w:val="lrTb"/>
            <w:noWrap w:val="false"/>
          </w:tcPr>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投标报价本位币</w:t>
            </w:r>
            <w:r>
              <w:rPr>
                <w:rFonts w:ascii="宋体" w:hAnsi="宋体" w:cs="宋体"/>
              </w:rPr>
            </w:r>
            <w:r/>
          </w:p>
        </w:tc>
        <w:tc>
          <w:tcPr>
            <w:tcW w:w="7002" w:type="dxa"/>
            <w:vAlign w:val="center"/>
            <w:textDirection w:val="lrTb"/>
            <w:noWrap w:val="false"/>
          </w:tcPr>
          <w:p>
            <w:pPr>
              <w:pStyle w:val="916"/>
              <w:ind w:firstLine="0"/>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人民币  </w:t>
            </w:r>
            <w:r>
              <w:rPr>
                <w:rFonts w:ascii="宋体" w:hAnsi="宋体" w:cs="宋体"/>
              </w:rPr>
            </w:r>
            <w:r/>
          </w:p>
        </w:tc>
      </w:tr>
      <w:tr>
        <w:trPr>
          <w:cantSplit/>
          <w:trHeight w:val="680"/>
        </w:trPr>
        <w:tc>
          <w:tcPr>
            <w:tcW w:w="943" w:type="dxa"/>
            <w:vAlign w:val="center"/>
            <w:textDirection w:val="lrTb"/>
            <w:noWrap w:val="false"/>
          </w:tcPr>
          <w:p>
            <w:pPr>
              <w:pStyle w:val="916"/>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lang w:val="en-US" w:eastAsia="zh-CN"/>
              </w:rPr>
              <w:t xml:space="preserve">14</w:t>
            </w:r>
            <w:r>
              <w:rPr>
                <w:rFonts w:ascii="宋体" w:hAnsi="宋体" w:cs="宋体"/>
              </w:rPr>
            </w:r>
            <w:r/>
          </w:p>
        </w:tc>
        <w:tc>
          <w:tcPr>
            <w:tcW w:w="2173" w:type="dxa"/>
            <w:vAlign w:val="center"/>
            <w:textDirection w:val="lrTb"/>
            <w:noWrap w:val="false"/>
          </w:tcPr>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评标标准</w:t>
            </w:r>
            <w:r>
              <w:rPr>
                <w:rFonts w:ascii="宋体" w:hAnsi="宋体" w:cs="宋体"/>
              </w:rPr>
            </w:r>
            <w:r/>
          </w:p>
        </w:tc>
        <w:tc>
          <w:tcPr>
            <w:tcW w:w="7002" w:type="dxa"/>
            <w:vAlign w:val="center"/>
            <w:textDirection w:val="lrTb"/>
            <w:noWrap w:val="false"/>
          </w:tcPr>
          <w:p>
            <w:pPr>
              <w:pStyle w:val="916"/>
              <w:ind w:firstLine="0"/>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根据质量、技术与价格的比较</w:t>
            </w:r>
            <w:r>
              <w:rPr>
                <w:rFonts w:ascii="宋体" w:hAnsi="宋体" w:cs="宋体"/>
              </w:rPr>
            </w:r>
            <w:r/>
          </w:p>
        </w:tc>
      </w:tr>
      <w:tr>
        <w:trPr>
          <w:cantSplit/>
          <w:trHeight w:val="680"/>
        </w:trPr>
        <w:tc>
          <w:tcPr>
            <w:tcW w:w="943" w:type="dxa"/>
            <w:vAlign w:val="center"/>
            <w:textDirection w:val="lrTb"/>
            <w:noWrap w:val="false"/>
          </w:tcPr>
          <w:p>
            <w:pPr>
              <w:pStyle w:val="916"/>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lang w:val="en-US" w:eastAsia="zh-CN"/>
              </w:rPr>
              <w:t xml:space="preserve">15</w:t>
            </w:r>
            <w:r>
              <w:rPr>
                <w:rFonts w:ascii="宋体" w:hAnsi="宋体" w:cs="宋体"/>
              </w:rPr>
            </w:r>
            <w:r/>
          </w:p>
        </w:tc>
        <w:tc>
          <w:tcPr>
            <w:tcW w:w="2173" w:type="dxa"/>
            <w:vAlign w:val="center"/>
            <w:textDirection w:val="lrTb"/>
            <w:noWrap w:val="false"/>
          </w:tcPr>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评标方法</w:t>
            </w:r>
            <w:r>
              <w:rPr>
                <w:rFonts w:ascii="宋体" w:hAnsi="宋体" w:cs="宋体"/>
              </w:rPr>
            </w:r>
            <w:r/>
          </w:p>
        </w:tc>
        <w:tc>
          <w:tcPr>
            <w:tcW w:w="7002" w:type="dxa"/>
            <w:vAlign w:val="center"/>
            <w:textDirection w:val="lrTb"/>
            <w:noWrap w:val="false"/>
          </w:tcPr>
          <w:p>
            <w:pPr>
              <w:pStyle w:val="916"/>
              <w:ind w:firstLine="0"/>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用综合评分法得分最高的合格投标人为预中标人</w:t>
            </w:r>
            <w:r>
              <w:rPr>
                <w:rFonts w:ascii="宋体" w:hAnsi="宋体" w:cs="宋体"/>
              </w:rPr>
            </w:r>
            <w:r/>
          </w:p>
        </w:tc>
      </w:tr>
      <w:tr>
        <w:trPr>
          <w:cantSplit/>
          <w:trHeight w:val="680"/>
        </w:trPr>
        <w:tc>
          <w:tcPr>
            <w:tcW w:w="943" w:type="dxa"/>
            <w:vAlign w:val="center"/>
            <w:textDirection w:val="lrTb"/>
            <w:noWrap w:val="false"/>
          </w:tcPr>
          <w:p>
            <w:pPr>
              <w:pStyle w:val="916"/>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lang w:val="en-US" w:eastAsia="zh-CN"/>
              </w:rPr>
              <w:t xml:space="preserve">16</w:t>
            </w:r>
            <w:r>
              <w:rPr>
                <w:rFonts w:ascii="宋体" w:hAnsi="宋体" w:cs="宋体"/>
              </w:rPr>
            </w:r>
            <w:r/>
          </w:p>
        </w:tc>
        <w:tc>
          <w:tcPr>
            <w:tcW w:w="2173" w:type="dxa"/>
            <w:vAlign w:val="center"/>
            <w:textDirection w:val="lrTb"/>
            <w:noWrap w:val="false"/>
          </w:tcPr>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履约保证金</w:t>
            </w:r>
            <w:r>
              <w:rPr>
                <w:rFonts w:ascii="宋体" w:hAnsi="宋体" w:cs="宋体"/>
              </w:rPr>
            </w:r>
            <w:r/>
          </w:p>
        </w:tc>
        <w:tc>
          <w:tcPr>
            <w:tcW w:w="7002" w:type="dxa"/>
            <w:vAlign w:val="center"/>
            <w:textDirection w:val="lrTb"/>
            <w:noWrap w:val="false"/>
          </w:tcPr>
          <w:p>
            <w:pPr>
              <w:pStyle w:val="916"/>
              <w:ind w:firstLine="0"/>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按合同约定，未做说明的则为无。</w:t>
            </w:r>
            <w:r>
              <w:rPr>
                <w:rFonts w:ascii="宋体" w:hAnsi="宋体" w:cs="宋体"/>
              </w:rPr>
            </w:r>
            <w:r/>
          </w:p>
        </w:tc>
      </w:tr>
      <w:tr>
        <w:trPr>
          <w:cantSplit/>
          <w:trHeight w:val="339"/>
        </w:trPr>
        <w:tc>
          <w:tcPr>
            <w:tcW w:w="943" w:type="dxa"/>
            <w:vAlign w:val="center"/>
            <w:textDirection w:val="lrTb"/>
            <w:noWrap w:val="false"/>
          </w:tcPr>
          <w:p>
            <w:pPr>
              <w:pStyle w:val="916"/>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lang w:val="en-US" w:eastAsia="zh-CN"/>
              </w:rPr>
              <w:t xml:space="preserve">17</w:t>
            </w:r>
            <w:r>
              <w:rPr>
                <w:rFonts w:ascii="宋体" w:hAnsi="宋体" w:cs="宋体"/>
              </w:rPr>
            </w:r>
            <w:r/>
          </w:p>
        </w:tc>
        <w:tc>
          <w:tcPr>
            <w:tcW w:w="2173" w:type="dxa"/>
            <w:vAlign w:val="center"/>
            <w:textDirection w:val="lrTb"/>
            <w:noWrap w:val="false"/>
          </w:tcPr>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中标服务费</w:t>
            </w:r>
            <w:r>
              <w:rPr>
                <w:rFonts w:ascii="宋体" w:hAnsi="宋体" w:cs="宋体"/>
              </w:rPr>
            </w:r>
            <w:r/>
          </w:p>
        </w:tc>
        <w:tc>
          <w:tcPr>
            <w:tcW w:w="7002" w:type="dxa"/>
            <w:vAlign w:val="center"/>
            <w:textDirection w:val="lrTb"/>
            <w:noWrap w:val="false"/>
          </w:tcPr>
          <w:p>
            <w:pPr>
              <w:pStyle w:val="859"/>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rPr>
              <w:t xml:space="preserve">中标服务费：</w:t>
            </w:r>
            <w:bookmarkStart w:id="1" w:name="OLE_LINK9"/>
            <w:r>
              <w:rPr>
                <w:rFonts w:ascii="宋体" w:hAnsi="宋体" w:cs="宋体"/>
              </w:rPr>
            </w:r>
            <w:bookmarkStart w:id="2" w:name="OLE_LINK10"/>
            <w:r>
              <w:rPr>
                <w:rFonts w:ascii="宋体" w:hAnsi="宋体" w:cs="宋体"/>
              </w:rPr>
            </w:r>
            <w:bookmarkStart w:id="3" w:name="OLE_LINK6"/>
            <w:r>
              <w:rPr>
                <w:rFonts w:ascii="宋体" w:hAnsi="宋体" w:cs="宋体"/>
              </w:rPr>
            </w:r>
            <w:bookmarkStart w:id="4" w:name="OLE_LINK8"/>
            <w:r>
              <w:rPr>
                <w:rFonts w:hint="eastAsia" w:ascii="宋体" w:hAnsi="宋体" w:eastAsia="宋体" w:cs="宋体"/>
                <w:color w:val="000000"/>
                <w:sz w:val="21"/>
                <w:szCs w:val="21"/>
              </w:rPr>
              <w:t xml:space="preserve">根据苏财购告〔</w:t>
            </w:r>
            <w:r>
              <w:rPr>
                <w:rFonts w:ascii="宋体" w:hAnsi="宋体" w:eastAsia="宋体" w:cs="宋体"/>
                <w:color w:val="000000"/>
                <w:sz w:val="21"/>
                <w:szCs w:val="21"/>
              </w:rPr>
              <w:t xml:space="preserve">2016〕31号文件规定的收费标准，中标服务费按差额定率累</w:t>
            </w:r>
            <w:r>
              <w:rPr>
                <w:rFonts w:ascii="宋体" w:hAnsi="宋体" w:eastAsia="宋体" w:cs="宋体"/>
                <w:color w:val="000000"/>
                <w:sz w:val="21"/>
                <w:szCs w:val="21"/>
                <w:highlight w:val="none"/>
              </w:rPr>
              <w:t xml:space="preserve">进法计算，本项目中标服务费金额为人民币贰万元整。中标人需在领取中标通知书时，向招标代理机构一次性付清该笔费用。</w:t>
            </w:r>
            <w:bookmarkEnd w:id="1"/>
            <w:r>
              <w:rPr>
                <w:rFonts w:ascii="宋体" w:hAnsi="宋体" w:cs="宋体"/>
              </w:rPr>
            </w:r>
            <w:bookmarkEnd w:id="2"/>
            <w:r>
              <w:rPr>
                <w:rFonts w:ascii="宋体" w:hAnsi="宋体" w:cs="宋体"/>
              </w:rPr>
            </w:r>
            <w:r/>
          </w:p>
          <w:p>
            <w:pPr>
              <w:pStyle w:val="859"/>
              <w:spacing w:line="440" w:lineRule="exact"/>
              <w:rPr>
                <w:rFonts w:hint="eastAsia" w:ascii="宋体" w:hAnsi="宋体" w:cs="宋体"/>
                <w:color w:val="000000"/>
                <w:sz w:val="21"/>
                <w:szCs w:val="21"/>
                <w:highlight w:val="none"/>
              </w:rPr>
            </w:pPr>
            <w:r>
              <w:rPr>
                <w:rFonts w:ascii="宋体" w:hAnsi="宋体" w:cs="宋体"/>
              </w:rPr>
            </w:r>
            <w:bookmarkEnd w:id="3"/>
            <w:r>
              <w:rPr>
                <w:rFonts w:ascii="宋体" w:hAnsi="宋体" w:cs="宋体"/>
              </w:rPr>
            </w:r>
            <w:bookmarkEnd w:id="4"/>
            <w:r>
              <w:rPr>
                <w:rFonts w:hint="eastAsia" w:ascii="宋体" w:hAnsi="宋体" w:eastAsia="宋体" w:cs="宋体"/>
                <w:color w:val="000000"/>
                <w:sz w:val="21"/>
                <w:szCs w:val="21"/>
                <w:highlight w:val="none"/>
              </w:rPr>
              <w:t xml:space="preserve">收费标准：预算金额100万以下费率为预算金额1.5%；</w:t>
            </w:r>
            <w:r>
              <w:rPr>
                <w:rFonts w:ascii="宋体" w:hAnsi="宋体" w:cs="宋体"/>
              </w:rPr>
            </w:r>
            <w:r/>
          </w:p>
          <w:p>
            <w:pPr>
              <w:pStyle w:val="859"/>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          预算金额100－500万费率为预算金额的1.1%。</w:t>
            </w:r>
            <w:r>
              <w:rPr>
                <w:rFonts w:ascii="宋体" w:hAnsi="宋体" w:cs="宋体"/>
              </w:rPr>
            </w:r>
            <w:r/>
          </w:p>
          <w:p>
            <w:pPr>
              <w:pStyle w:val="859"/>
              <w:spacing w:line="440" w:lineRule="exact"/>
              <w:rPr>
                <w:rFonts w:hint="eastAsia" w:ascii="宋体" w:hAnsi="宋体" w:cs="宋体"/>
                <w:color w:val="000000"/>
                <w:sz w:val="21"/>
                <w:szCs w:val="21"/>
              </w:rPr>
            </w:pPr>
            <w:r>
              <w:rPr>
                <w:rFonts w:hint="eastAsia" w:ascii="宋体" w:hAnsi="宋体" w:eastAsia="宋体" w:cs="宋体"/>
                <w:color w:val="000000"/>
                <w:sz w:val="21"/>
                <w:szCs w:val="21"/>
                <w:highlight w:val="none"/>
              </w:rPr>
              <w:t xml:space="preserve">          交纳帐户：苏州欣禾诚工程咨询服务有</w:t>
            </w:r>
            <w:r>
              <w:rPr>
                <w:rFonts w:hint="eastAsia" w:ascii="宋体" w:hAnsi="宋体" w:eastAsia="宋体" w:cs="宋体"/>
                <w:color w:val="000000"/>
                <w:sz w:val="21"/>
                <w:szCs w:val="21"/>
              </w:rPr>
              <w:t xml:space="preserve">限公司</w:t>
            </w:r>
            <w:r>
              <w:rPr>
                <w:rFonts w:ascii="宋体" w:hAnsi="宋体" w:cs="宋体"/>
              </w:rPr>
            </w:r>
            <w:r/>
          </w:p>
          <w:p>
            <w:pPr>
              <w:pStyle w:val="859"/>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          账    号：10546501040014175        </w:t>
            </w:r>
            <w:r>
              <w:rPr>
                <w:rFonts w:ascii="宋体" w:hAnsi="宋体" w:cs="宋体"/>
              </w:rPr>
            </w:r>
            <w:r/>
          </w:p>
          <w:p>
            <w:pPr>
              <w:pStyle w:val="859"/>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          开户银行：中国农业银行吴江城南支行</w:t>
            </w:r>
            <w:r>
              <w:rPr>
                <w:rFonts w:ascii="宋体" w:hAnsi="宋体" w:cs="宋体"/>
              </w:rPr>
            </w:r>
            <w:r/>
          </w:p>
        </w:tc>
      </w:tr>
      <w:tr>
        <w:trPr>
          <w:cantSplit/>
          <w:trHeight w:val="1814"/>
        </w:trPr>
        <w:tc>
          <w:tcPr>
            <w:tcW w:w="943" w:type="dxa"/>
            <w:vAlign w:val="center"/>
            <w:textDirection w:val="lrTb"/>
            <w:noWrap w:val="false"/>
          </w:tcPr>
          <w:p>
            <w:pPr>
              <w:pStyle w:val="916"/>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lang w:val="en-US" w:eastAsia="zh-CN"/>
              </w:rPr>
              <w:t xml:space="preserve">18</w:t>
            </w:r>
            <w:r>
              <w:rPr>
                <w:rFonts w:ascii="宋体" w:hAnsi="宋体" w:cs="宋体"/>
              </w:rPr>
            </w:r>
            <w:r/>
          </w:p>
        </w:tc>
        <w:tc>
          <w:tcPr>
            <w:tcW w:w="2173" w:type="dxa"/>
            <w:vAlign w:val="center"/>
            <w:textDirection w:val="lrTb"/>
            <w:noWrap w:val="false"/>
          </w:tcPr>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中标通知书</w:t>
            </w:r>
            <w:r>
              <w:rPr>
                <w:rFonts w:ascii="宋体" w:hAnsi="宋体" w:cs="宋体"/>
              </w:rPr>
            </w:r>
            <w:r/>
          </w:p>
        </w:tc>
        <w:tc>
          <w:tcPr>
            <w:tcW w:w="7002"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确定出中标人后，招标代理机构在法定时间内向中标人发出中标通知书。中标通知书将成为合同的组成部分。</w:t>
            </w:r>
            <w:r>
              <w:rPr>
                <w:rFonts w:ascii="宋体" w:hAnsi="宋体" w:cs="宋体"/>
              </w:rPr>
            </w:r>
            <w:r/>
          </w:p>
          <w:p>
            <w:pPr>
              <w:pStyle w:val="859"/>
              <w:spacing w:line="440" w:lineRule="exact"/>
              <w:rPr>
                <w:rFonts w:hint="eastAsia" w:ascii="宋体" w:hAnsi="宋体" w:cs="宋体"/>
                <w:color w:val="000000"/>
                <w:sz w:val="21"/>
                <w:szCs w:val="21"/>
              </w:rPr>
            </w:pPr>
            <w:r>
              <w:rPr>
                <w:rFonts w:hint="eastAsia" w:ascii="宋体" w:hAnsi="宋体" w:eastAsia="宋体" w:cs="宋体"/>
                <w:b/>
                <w:bCs/>
                <w:color w:val="000000"/>
                <w:sz w:val="21"/>
                <w:szCs w:val="21"/>
              </w:rPr>
              <w:t xml:space="preserve">请中标人在中标结果公告届满之日起30日内，使用CA证书登录“苏采云政府采购一体化平台”系统及时下载中标通知书。</w:t>
            </w:r>
            <w:r>
              <w:rPr>
                <w:rFonts w:ascii="宋体" w:hAnsi="宋体" w:cs="宋体"/>
              </w:rPr>
            </w:r>
            <w:r/>
          </w:p>
        </w:tc>
      </w:tr>
      <w:tr>
        <w:trPr>
          <w:cantSplit/>
          <w:trHeight w:val="566"/>
        </w:trPr>
        <w:tc>
          <w:tcPr>
            <w:tcW w:w="943" w:type="dxa"/>
            <w:vAlign w:val="center"/>
            <w:textDirection w:val="lrTb"/>
            <w:noWrap w:val="false"/>
          </w:tcPr>
          <w:p>
            <w:pPr>
              <w:pStyle w:val="916"/>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lang w:val="en-US" w:eastAsia="zh-CN"/>
              </w:rPr>
              <w:t xml:space="preserve">19</w:t>
            </w:r>
            <w:r>
              <w:rPr>
                <w:rFonts w:ascii="宋体" w:hAnsi="宋体" w:cs="宋体"/>
              </w:rPr>
            </w:r>
            <w:r/>
          </w:p>
        </w:tc>
        <w:tc>
          <w:tcPr>
            <w:tcW w:w="2173" w:type="dxa"/>
            <w:vAlign w:val="center"/>
            <w:textDirection w:val="lrTb"/>
            <w:noWrap w:val="false"/>
          </w:tcPr>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导致无效标因素</w:t>
            </w:r>
            <w:r>
              <w:rPr>
                <w:rFonts w:ascii="宋体" w:hAnsi="宋体" w:cs="宋体"/>
              </w:rPr>
            </w:r>
            <w:r/>
          </w:p>
        </w:tc>
        <w:tc>
          <w:tcPr>
            <w:tcW w:w="7002" w:type="dxa"/>
            <w:vAlign w:val="center"/>
            <w:textDirection w:val="lrTb"/>
            <w:noWrap w:val="false"/>
          </w:tcPr>
          <w:p>
            <w:pPr>
              <w:pStyle w:val="916"/>
              <w:ind w:firstLine="0"/>
              <w:spacing w:line="44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投标文件属下列情况之一的，在资格性、符合性检查时按照无效投标处理：</w:t>
            </w:r>
            <w:r>
              <w:rPr>
                <w:rFonts w:ascii="宋体" w:hAnsi="宋体" w:cs="宋体"/>
              </w:rPr>
            </w:r>
            <w:r/>
          </w:p>
          <w:p>
            <w:pPr>
              <w:pStyle w:val="916"/>
              <w:numPr>
                <w:ilvl w:val="0"/>
                <w:numId w:val="1"/>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lang w:val="en-US" w:eastAsia="zh-CN"/>
              </w:rPr>
              <w:t xml:space="preserve">未按照招标文件规定要求签署、盖章的；</w:t>
            </w:r>
            <w:r>
              <w:rPr>
                <w:rFonts w:ascii="宋体" w:hAnsi="宋体" w:cs="宋体"/>
              </w:rPr>
            </w:r>
            <w:r/>
          </w:p>
          <w:p>
            <w:pPr>
              <w:pStyle w:val="916"/>
              <w:numPr>
                <w:ilvl w:val="0"/>
                <w:numId w:val="1"/>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lang w:val="en-US" w:eastAsia="zh-CN"/>
              </w:rPr>
              <w:t xml:space="preserve">不具备招标文件中规定资格要求的；</w:t>
            </w:r>
            <w:r>
              <w:rPr>
                <w:rFonts w:ascii="宋体" w:hAnsi="宋体" w:cs="宋体"/>
              </w:rPr>
            </w:r>
            <w:r/>
          </w:p>
          <w:p>
            <w:pPr>
              <w:pStyle w:val="916"/>
              <w:numPr>
                <w:ilvl w:val="0"/>
                <w:numId w:val="1"/>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lang w:val="zh-CN" w:eastAsia="zh-CN"/>
              </w:rPr>
              <w:t xml:space="preserve">报价超过招标文件中规定的预算金额（总预算和单项预算）或者最高限价的；</w:t>
            </w:r>
            <w:r>
              <w:rPr>
                <w:rFonts w:ascii="宋体" w:hAnsi="宋体" w:cs="宋体"/>
              </w:rPr>
            </w:r>
            <w:r/>
          </w:p>
          <w:p>
            <w:pPr>
              <w:pStyle w:val="916"/>
              <w:numPr>
                <w:ilvl w:val="0"/>
                <w:numId w:val="1"/>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lang w:val="zh-CN" w:eastAsia="zh-CN"/>
              </w:rPr>
              <w:t xml:space="preserve">投标文件含有采购人不能接受的附加条件的；</w:t>
            </w:r>
            <w:r>
              <w:rPr>
                <w:rFonts w:ascii="宋体" w:hAnsi="宋体" w:cs="宋体"/>
              </w:rPr>
            </w:r>
            <w:r/>
          </w:p>
          <w:p>
            <w:pPr>
              <w:pStyle w:val="916"/>
              <w:numPr>
                <w:ilvl w:val="0"/>
                <w:numId w:val="1"/>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lang w:val="en-US" w:eastAsia="zh-CN"/>
              </w:rPr>
              <w:t xml:space="preserve">平台报名系统内投标单位（投标单位）的报名名称（CA用户名）与投标文件中投标单位（投标单位）名称不一致的；</w:t>
            </w:r>
            <w:r>
              <w:rPr>
                <w:rFonts w:ascii="宋体" w:hAnsi="宋体" w:cs="宋体"/>
              </w:rPr>
            </w:r>
            <w:r/>
          </w:p>
          <w:p>
            <w:pPr>
              <w:pStyle w:val="916"/>
              <w:numPr>
                <w:ilvl w:val="0"/>
                <w:numId w:val="1"/>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lang w:val="en-US" w:eastAsia="zh-CN"/>
              </w:rPr>
              <w:t xml:space="preserve">因投标单位自身原因导致网上投标文件无法递交的其他情况；</w:t>
            </w:r>
            <w:r>
              <w:rPr>
                <w:rFonts w:ascii="宋体" w:hAnsi="宋体" w:cs="宋体"/>
              </w:rPr>
            </w:r>
            <w:r/>
          </w:p>
          <w:p>
            <w:pPr>
              <w:pStyle w:val="916"/>
              <w:numPr>
                <w:ilvl w:val="0"/>
                <w:numId w:val="1"/>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lang w:val="en-US" w:eastAsia="zh-CN"/>
              </w:rPr>
              <w:t xml:space="preserve">不同投标（响应）文件制作机器码一致的；</w:t>
            </w:r>
            <w:r>
              <w:rPr>
                <w:rFonts w:ascii="宋体" w:hAnsi="宋体" w:cs="宋体"/>
              </w:rPr>
            </w:r>
            <w:r/>
          </w:p>
          <w:p>
            <w:pPr>
              <w:pStyle w:val="916"/>
              <w:numPr>
                <w:ilvl w:val="0"/>
                <w:numId w:val="1"/>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lang w:val="zh-CN" w:eastAsia="zh-CN"/>
              </w:rPr>
              <w:t xml:space="preserve">法律、法规和招标文件规定的其他无效情形。</w:t>
            </w:r>
            <w:r>
              <w:rPr>
                <w:rFonts w:ascii="宋体" w:hAnsi="宋体" w:cs="宋体"/>
              </w:rPr>
            </w:r>
            <w:r/>
          </w:p>
        </w:tc>
      </w:tr>
      <w:tr>
        <w:trPr>
          <w:cantSplit/>
          <w:trHeight w:val="3118"/>
        </w:trPr>
        <w:tc>
          <w:tcPr>
            <w:tcW w:w="943" w:type="dxa"/>
            <w:vAlign w:val="center"/>
            <w:textDirection w:val="lrTb"/>
            <w:noWrap w:val="false"/>
          </w:tcPr>
          <w:p>
            <w:pPr>
              <w:pStyle w:val="916"/>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lang w:val="en-US" w:eastAsia="zh-CN"/>
              </w:rPr>
              <w:t xml:space="preserve">20</w:t>
            </w:r>
            <w:r>
              <w:rPr>
                <w:rFonts w:ascii="宋体" w:hAnsi="宋体" w:cs="宋体"/>
              </w:rPr>
            </w:r>
            <w:r/>
          </w:p>
        </w:tc>
        <w:tc>
          <w:tcPr>
            <w:tcW w:w="2173" w:type="dxa"/>
            <w:vAlign w:val="center"/>
            <w:textDirection w:val="lrTb"/>
            <w:noWrap w:val="false"/>
          </w:tcPr>
          <w:p>
            <w:pPr>
              <w:pStyle w:val="916"/>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zh-CN" w:eastAsia="zh-CN"/>
              </w:rPr>
              <w:t xml:space="preserve">导致废标因素</w:t>
            </w:r>
            <w:r>
              <w:rPr>
                <w:rFonts w:ascii="宋体" w:hAnsi="宋体" w:cs="宋体"/>
              </w:rPr>
            </w:r>
            <w:r/>
          </w:p>
        </w:tc>
        <w:tc>
          <w:tcPr>
            <w:tcW w:w="7002" w:type="dxa"/>
            <w:vAlign w:val="center"/>
            <w:textDirection w:val="lrTb"/>
            <w:noWrap w:val="false"/>
          </w:tcPr>
          <w:p>
            <w:pPr>
              <w:pStyle w:val="916"/>
              <w:ind w:firstLine="0"/>
              <w:spacing w:line="440" w:lineRule="exact"/>
              <w:rPr>
                <w:rFonts w:ascii="宋体" w:hAnsi="宋体" w:cs="宋体"/>
                <w:color w:val="000000"/>
                <w:sz w:val="21"/>
                <w:szCs w:val="21"/>
              </w:rPr>
            </w:pPr>
            <w:r>
              <w:rPr>
                <w:rFonts w:ascii="宋体" w:hAnsi="宋体" w:eastAsia="宋体" w:cs="宋体"/>
                <w:color w:val="000000"/>
                <w:sz w:val="21"/>
                <w:szCs w:val="21"/>
                <w:lang w:val="zh-CN" w:eastAsia="zh-CN"/>
              </w:rPr>
              <w:t xml:space="preserve">出现下列情形之一的，为废标：</w:t>
            </w:r>
            <w:r>
              <w:rPr>
                <w:rFonts w:ascii="宋体" w:hAnsi="宋体" w:cs="宋体"/>
              </w:rPr>
            </w:r>
            <w:r/>
          </w:p>
          <w:p>
            <w:pPr>
              <w:pStyle w:val="916"/>
              <w:numPr>
                <w:ilvl w:val="0"/>
                <w:numId w:val="2"/>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lang w:val="zh-CN" w:eastAsia="zh-CN"/>
              </w:rPr>
              <w:t xml:space="preserve">符合专业条件的供应商或者对招标文件作实质响应的供应商不足三家的；</w:t>
            </w:r>
            <w:r>
              <w:rPr>
                <w:rFonts w:ascii="宋体" w:hAnsi="宋体" w:cs="宋体"/>
              </w:rPr>
            </w:r>
            <w:r/>
          </w:p>
          <w:p>
            <w:pPr>
              <w:pStyle w:val="916"/>
              <w:numPr>
                <w:ilvl w:val="0"/>
                <w:numId w:val="2"/>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lang w:val="zh-CN" w:eastAsia="zh-CN"/>
              </w:rPr>
              <w:t xml:space="preserve">出现影响采购公正的违法、违规行为的；</w:t>
            </w:r>
            <w:r>
              <w:rPr>
                <w:rFonts w:ascii="宋体" w:hAnsi="宋体" w:cs="宋体"/>
              </w:rPr>
            </w:r>
            <w:r/>
          </w:p>
          <w:p>
            <w:pPr>
              <w:pStyle w:val="916"/>
              <w:numPr>
                <w:ilvl w:val="0"/>
                <w:numId w:val="2"/>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lang w:val="zh-CN" w:eastAsia="zh-CN"/>
              </w:rPr>
              <w:t xml:space="preserve">投标人的报价均超过了采购预算（总预算和单项预算）或者最高限价的，采购人不能支付的； </w:t>
            </w:r>
            <w:r>
              <w:rPr>
                <w:rFonts w:ascii="宋体" w:hAnsi="宋体" w:cs="宋体"/>
              </w:rPr>
            </w:r>
            <w:r/>
          </w:p>
          <w:p>
            <w:pPr>
              <w:pStyle w:val="916"/>
              <w:numPr>
                <w:ilvl w:val="0"/>
                <w:numId w:val="2"/>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lang w:val="zh-CN" w:eastAsia="zh-CN"/>
              </w:rPr>
              <w:t xml:space="preserve">因重大变故，采购任务取消的。</w:t>
            </w:r>
            <w:r>
              <w:rPr>
                <w:rFonts w:ascii="宋体" w:hAnsi="宋体" w:cs="宋体"/>
              </w:rPr>
            </w:r>
            <w:r/>
          </w:p>
        </w:tc>
      </w:tr>
    </w:tbl>
    <w:p>
      <w:pPr>
        <w:pStyle w:val="859"/>
        <w:jc w:val="center"/>
        <w:rPr>
          <w:rFonts w:hint="eastAsia" w:ascii="宋体" w:hAnsi="宋体" w:cs="宋体"/>
          <w:b/>
          <w:bCs/>
          <w:color w:val="000000"/>
          <w:sz w:val="36"/>
          <w:szCs w:val="36"/>
        </w:rPr>
      </w:pPr>
      <w:r>
        <w:rPr>
          <w:rFonts w:hint="eastAsia" w:ascii="宋体" w:hAnsi="宋体" w:cs="宋体"/>
          <w:b/>
          <w:bCs/>
          <w:color w:val="000000"/>
          <w:sz w:val="36"/>
          <w:szCs w:val="36"/>
        </w:rPr>
      </w:r>
      <w:r>
        <w:rPr>
          <w:rFonts w:ascii="宋体" w:hAnsi="宋体" w:cs="宋体"/>
        </w:rPr>
      </w:r>
      <w:r/>
    </w:p>
    <w:p>
      <w:pPr>
        <w:pStyle w:val="859"/>
        <w:jc w:val="center"/>
        <w:rPr>
          <w:rFonts w:hint="eastAsia" w:ascii="宋体" w:hAnsi="宋体" w:cs="宋体"/>
          <w:b/>
          <w:bCs/>
          <w:color w:val="000000"/>
          <w:sz w:val="36"/>
          <w:szCs w:val="36"/>
        </w:rPr>
      </w:pPr>
      <w:r>
        <w:rPr>
          <w:rFonts w:hint="eastAsia" w:ascii="宋体" w:hAnsi="宋体" w:cs="宋体"/>
          <w:b/>
          <w:bCs/>
          <w:color w:val="000000"/>
          <w:sz w:val="36"/>
          <w:szCs w:val="36"/>
        </w:rPr>
      </w:r>
      <w:r>
        <w:rPr>
          <w:rFonts w:ascii="宋体" w:hAnsi="宋体" w:cs="宋体"/>
        </w:rPr>
      </w:r>
      <w:r/>
    </w:p>
    <w:p>
      <w:pPr>
        <w:pStyle w:val="1015"/>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1015"/>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1015"/>
        <w:rPr>
          <w:rFonts w:hint="eastAsia" w:ascii="宋体" w:hAnsi="宋体" w:cs="宋体"/>
          <w:color w:val="000000"/>
        </w:rPr>
      </w:pPr>
      <w:r>
        <w:rPr>
          <w:rFonts w:hint="eastAsia" w:ascii="宋体" w:hAnsi="宋体" w:cs="宋体"/>
          <w:color w:val="000000"/>
        </w:rPr>
      </w:r>
      <w:r>
        <w:rPr>
          <w:rFonts w:ascii="宋体" w:hAnsi="宋体" w:cs="宋体"/>
        </w:rPr>
      </w:r>
      <w:r/>
    </w:p>
    <w:p>
      <w:pPr>
        <w:pStyle w:val="859"/>
        <w:jc w:val="center"/>
        <w:rPr>
          <w:rFonts w:ascii="宋体" w:hAnsi="宋体" w:cs="宋体"/>
          <w:b/>
          <w:bCs/>
          <w:color w:val="000000"/>
          <w:sz w:val="36"/>
          <w:szCs w:val="36"/>
        </w:rPr>
      </w:pPr>
      <w:r>
        <w:rPr>
          <w:rFonts w:hint="eastAsia" w:ascii="宋体" w:hAnsi="宋体" w:eastAsia="宋体" w:cs="宋体"/>
          <w:b/>
          <w:bCs/>
          <w:color w:val="000000"/>
          <w:sz w:val="36"/>
          <w:szCs w:val="36"/>
        </w:rPr>
        <w:t xml:space="preserve">第一章</w:t>
      </w:r>
      <w:r>
        <w:rPr>
          <w:rFonts w:ascii="宋体" w:hAnsi="宋体" w:cs="宋体"/>
          <w:b/>
          <w:bCs/>
          <w:color w:val="000000"/>
          <w:sz w:val="36"/>
          <w:szCs w:val="36"/>
        </w:rPr>
        <w:t xml:space="preserve">  </w:t>
      </w:r>
      <w:r>
        <w:rPr>
          <w:rFonts w:hint="eastAsia" w:ascii="宋体" w:hAnsi="宋体" w:eastAsia="宋体" w:cs="宋体"/>
          <w:b/>
          <w:bCs/>
          <w:color w:val="000000"/>
          <w:sz w:val="36"/>
          <w:szCs w:val="36"/>
        </w:rPr>
        <w:t xml:space="preserve">投标邀请函</w:t>
      </w:r>
      <w:r>
        <w:rPr>
          <w:rFonts w:ascii="宋体" w:hAnsi="宋体" w:cs="宋体"/>
        </w:rPr>
      </w:r>
      <w:r/>
    </w:p>
    <w:p>
      <w:pPr>
        <w:pStyle w:val="859"/>
        <w:ind w:firstLine="420"/>
        <w:spacing w:line="460" w:lineRule="exact"/>
        <w:rPr>
          <w:rFonts w:hint="eastAsia" w:ascii="宋体" w:hAnsi="宋体" w:cs="宋体"/>
          <w:color w:val="000000"/>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rPr>
        <w:t xml:space="preserve">项目概况</w:t>
      </w:r>
      <w:r>
        <w:rPr>
          <w:rFonts w:ascii="宋体" w:hAnsi="宋体" w:cs="宋体"/>
        </w:rPr>
      </w:r>
      <w:r/>
    </w:p>
    <w:p>
      <w:pPr>
        <w:pStyle w:val="859"/>
        <w:ind w:firstLine="420"/>
        <w:spacing w:line="460" w:lineRule="exact"/>
        <w:rPr>
          <w:rFonts w:hint="eastAsia" w:ascii="宋体" w:hAnsi="宋体" w:cs="宋体"/>
          <w:color w:val="000000"/>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u w:val="single"/>
        </w:rPr>
        <w:t xml:space="preserve">230省道吴江收费站、258省道桃源收费站财政电子票据改革收费系统改造项目</w:t>
      </w:r>
      <w:r>
        <w:rPr>
          <w:rFonts w:hint="eastAsia" w:ascii="宋体" w:hAnsi="宋体" w:eastAsia="宋体" w:cs="宋体"/>
          <w:color w:val="000000"/>
          <w:sz w:val="21"/>
          <w:szCs w:val="21"/>
        </w:rPr>
        <w:t xml:space="preserve">的潜在投标人应在</w:t>
      </w:r>
      <w:r>
        <w:rPr>
          <w:rFonts w:hint="eastAsia" w:ascii="宋体" w:hAnsi="宋体" w:eastAsia="宋体" w:cs="宋体"/>
          <w:color w:val="000000"/>
          <w:sz w:val="21"/>
          <w:szCs w:val="21"/>
          <w:u w:val="single"/>
        </w:rPr>
        <w:t xml:space="preserve">苏采云政府采购一体化平台</w:t>
      </w:r>
      <w:r>
        <w:rPr>
          <w:rFonts w:hint="eastAsia" w:ascii="宋体" w:hAnsi="宋体" w:eastAsia="宋体" w:cs="宋体"/>
          <w:color w:val="000000"/>
          <w:sz w:val="21"/>
          <w:szCs w:val="21"/>
        </w:rPr>
        <w:t xml:space="preserve">获取招标文件，并于</w:t>
      </w:r>
      <w:r>
        <w:rPr>
          <w:rFonts w:hint="eastAsia" w:ascii="宋体" w:hAnsi="宋体" w:eastAsia="宋体" w:cs="宋体"/>
          <w:color w:val="000000"/>
          <w:sz w:val="21"/>
          <w:szCs w:val="21"/>
          <w:u w:val="single"/>
        </w:rPr>
        <w:t xml:space="preserve">2025年10月31日13点30分（北京时间）</w:t>
      </w:r>
      <w:r>
        <w:rPr>
          <w:rFonts w:hint="eastAsia" w:ascii="宋体" w:hAnsi="宋体" w:eastAsia="宋体" w:cs="宋体"/>
          <w:color w:val="000000"/>
          <w:sz w:val="21"/>
          <w:szCs w:val="21"/>
        </w:rPr>
        <w:t xml:space="preserve">前提交投标文件。</w:t>
      </w:r>
      <w:r>
        <w:rPr>
          <w:rFonts w:ascii="宋体" w:hAnsi="宋体" w:cs="宋体"/>
        </w:rPr>
      </w:r>
      <w:r/>
    </w:p>
    <w:p>
      <w:pPr>
        <w:pStyle w:val="861"/>
        <w:ind w:left="0" w:firstLine="422"/>
        <w:spacing w:before="0" w:after="0" w:line="460" w:lineRule="exact"/>
        <w:tabs>
          <w:tab w:val="left" w:pos="576" w:leader="none"/>
        </w:tabs>
        <w:rPr>
          <w:rFonts w:hint="eastAsia" w:ascii="宋体" w:hAnsi="宋体" w:cs="宋体"/>
          <w:color w:val="000000"/>
          <w:sz w:val="21"/>
          <w:szCs w:val="21"/>
        </w:rPr>
      </w:pPr>
      <w:r>
        <w:rPr>
          <w:rFonts w:ascii="宋体" w:hAnsi="宋体" w:cs="宋体"/>
        </w:rPr>
      </w:r>
      <w:bookmarkStart w:id="5" w:name="_Toc28359089"/>
      <w:r>
        <w:rPr>
          <w:rFonts w:ascii="宋体" w:hAnsi="宋体" w:cs="宋体"/>
        </w:rPr>
      </w:r>
      <w:bookmarkStart w:id="6" w:name="_Toc35393798"/>
      <w:r>
        <w:rPr>
          <w:rFonts w:ascii="宋体" w:hAnsi="宋体" w:cs="宋体"/>
        </w:rPr>
      </w:r>
      <w:bookmarkStart w:id="7" w:name="_Toc28359012"/>
      <w:r>
        <w:rPr>
          <w:rFonts w:ascii="宋体" w:hAnsi="宋体" w:cs="宋体"/>
        </w:rPr>
      </w:r>
      <w:bookmarkStart w:id="8" w:name="_Toc35393629"/>
      <w:r>
        <w:rPr>
          <w:rFonts w:hint="eastAsia" w:ascii="宋体" w:hAnsi="宋体" w:eastAsia="宋体" w:cs="宋体"/>
          <w:color w:val="000000"/>
          <w:sz w:val="21"/>
          <w:szCs w:val="21"/>
        </w:rPr>
        <w:t xml:space="preserve">一、项目基本情况</w:t>
      </w:r>
      <w:bookmarkEnd w:id="5"/>
      <w:r>
        <w:rPr>
          <w:rFonts w:ascii="宋体" w:hAnsi="宋体" w:cs="宋体"/>
        </w:rPr>
      </w:r>
      <w:bookmarkEnd w:id="6"/>
      <w:r>
        <w:rPr>
          <w:rFonts w:ascii="宋体" w:hAnsi="宋体" w:cs="宋体"/>
        </w:rPr>
      </w:r>
      <w:bookmarkEnd w:id="7"/>
      <w:r>
        <w:rPr>
          <w:rFonts w:ascii="宋体" w:hAnsi="宋体" w:cs="宋体"/>
        </w:rPr>
      </w:r>
      <w:bookmarkEnd w:id="8"/>
      <w:r>
        <w:rPr>
          <w:rFonts w:ascii="宋体" w:hAnsi="宋体" w:cs="宋体"/>
        </w:rPr>
      </w:r>
      <w:r/>
    </w:p>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项目编号：</w:t>
      </w:r>
      <w:r>
        <w:rPr>
          <w:rFonts w:hint="eastAsia" w:ascii="宋体" w:hAnsi="宋体" w:cs="宋体"/>
          <w:color w:val="000000"/>
          <w:sz w:val="21"/>
          <w:szCs w:val="21"/>
          <w:lang w:eastAsia="zh-CN"/>
        </w:rPr>
        <w:t xml:space="preserve">JSZC-320509-SXHC-G2025-0023</w:t>
      </w:r>
      <w:r>
        <w:rPr>
          <w:rFonts w:hint="eastAsia" w:ascii="宋体" w:hAnsi="宋体" w:eastAsia="宋体" w:cs="宋体"/>
          <w:color w:val="000000"/>
          <w:sz w:val="21"/>
          <w:szCs w:val="21"/>
        </w:rPr>
        <w:t xml:space="preserve">号</w:t>
      </w:r>
      <w:r>
        <w:rPr>
          <w:rFonts w:ascii="宋体" w:hAnsi="宋体" w:cs="宋体"/>
        </w:rPr>
      </w:r>
      <w:r/>
    </w:p>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项目名称：230省道吴江收费站、258省道桃源收费站财政电子票据改革收费系统改造项目</w:t>
      </w:r>
      <w:r>
        <w:rPr>
          <w:rFonts w:ascii="宋体" w:hAnsi="宋体" w:cs="宋体"/>
        </w:rPr>
      </w:r>
      <w:r/>
    </w:p>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采购方式：公开招标</w:t>
      </w:r>
      <w:r>
        <w:rPr>
          <w:rFonts w:ascii="宋体" w:hAnsi="宋体" w:cs="宋体"/>
        </w:rPr>
      </w:r>
      <w:r/>
    </w:p>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预算金额：人民币壹佰</w:t>
      </w:r>
      <w:r>
        <w:rPr>
          <w:rFonts w:hint="eastAsia" w:ascii="宋体" w:hAnsi="宋体" w:eastAsia="宋体" w:cs="宋体"/>
          <w:color w:val="000000"/>
          <w:sz w:val="21"/>
          <w:szCs w:val="21"/>
          <w:lang w:eastAsia="zh-CN"/>
        </w:rPr>
        <w:t xml:space="preserve">捌</w:t>
      </w:r>
      <w:r>
        <w:rPr>
          <w:rFonts w:hint="eastAsia" w:ascii="宋体" w:hAnsi="宋体" w:eastAsia="宋体" w:cs="宋体"/>
          <w:color w:val="000000"/>
          <w:sz w:val="21"/>
          <w:szCs w:val="21"/>
        </w:rPr>
        <w:t xml:space="preserve">拾万元整（¥1</w:t>
      </w:r>
      <w:r>
        <w:rPr>
          <w:rFonts w:hint="eastAsia" w:ascii="宋体" w:hAnsi="宋体" w:cs="宋体"/>
          <w:color w:val="000000"/>
          <w:sz w:val="21"/>
          <w:szCs w:val="21"/>
          <w:lang w:val="en-US" w:eastAsia="zh-CN"/>
        </w:rPr>
        <w:t xml:space="preserve">80</w:t>
      </w:r>
      <w:r>
        <w:rPr>
          <w:rFonts w:hint="eastAsia" w:ascii="宋体" w:hAnsi="宋体" w:eastAsia="宋体" w:cs="宋体"/>
          <w:color w:val="000000"/>
          <w:sz w:val="21"/>
          <w:szCs w:val="21"/>
        </w:rPr>
        <w:t xml:space="preserve">0000.00），其中</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4260"/>
        <w:gridCol w:w="4010"/>
        <w:gridCol w:w="972"/>
      </w:tblGrid>
      <w:tr>
        <w:trPr>
          <w:trHeight w:val="454"/>
        </w:trPr>
        <w:tc>
          <w:tcPr>
            <w:tcW w:w="876" w:type="dxa"/>
            <w:vAlign w:val="center"/>
            <w:textDirection w:val="lrTb"/>
            <w:noWrap w:val="false"/>
          </w:tcPr>
          <w:p>
            <w:pPr>
              <w:pStyle w:val="859"/>
              <w:ind w:left="-146" w:right="-120"/>
              <w:jc w:val="center"/>
              <w:spacing w:line="40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序号</w:t>
            </w:r>
            <w:r>
              <w:rPr>
                <w:rFonts w:ascii="宋体" w:hAnsi="宋体" w:cs="宋体"/>
              </w:rPr>
            </w:r>
            <w:r/>
          </w:p>
        </w:tc>
        <w:tc>
          <w:tcPr>
            <w:tcW w:w="4260" w:type="dxa"/>
            <w:vAlign w:val="center"/>
            <w:textDirection w:val="lrTb"/>
            <w:noWrap w:val="false"/>
          </w:tcPr>
          <w:p>
            <w:pPr>
              <w:pStyle w:val="859"/>
              <w:ind w:left="-72" w:right="-24"/>
              <w:jc w:val="center"/>
              <w:spacing w:line="400" w:lineRule="exact"/>
              <w:tabs>
                <w:tab w:val="left" w:pos="341"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分项内容</w:t>
            </w:r>
            <w:r>
              <w:rPr>
                <w:rFonts w:ascii="宋体" w:hAnsi="宋体" w:cs="宋体"/>
              </w:rPr>
            </w:r>
            <w:r/>
          </w:p>
        </w:tc>
        <w:tc>
          <w:tcPr>
            <w:tcW w:w="4010" w:type="dxa"/>
            <w:vAlign w:val="center"/>
            <w:textDirection w:val="lrTb"/>
            <w:noWrap w:val="false"/>
          </w:tcPr>
          <w:p>
            <w:pPr>
              <w:pStyle w:val="859"/>
              <w:ind w:left="-146" w:right="-120"/>
              <w:jc w:val="center"/>
              <w:spacing w:line="40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预算金额</w:t>
            </w:r>
            <w:r>
              <w:rPr>
                <w:rFonts w:ascii="宋体" w:hAnsi="宋体" w:cs="宋体"/>
              </w:rPr>
            </w:r>
            <w:r/>
          </w:p>
        </w:tc>
        <w:tc>
          <w:tcPr>
            <w:tcW w:w="972" w:type="dxa"/>
            <w:vAlign w:val="center"/>
            <w:textDirection w:val="lrTb"/>
            <w:noWrap w:val="false"/>
          </w:tcPr>
          <w:p>
            <w:pPr>
              <w:pStyle w:val="859"/>
              <w:ind w:left="-146" w:right="-120"/>
              <w:jc w:val="center"/>
              <w:spacing w:line="40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备注</w:t>
            </w:r>
            <w:r>
              <w:rPr>
                <w:rFonts w:ascii="宋体" w:hAnsi="宋体" w:cs="宋体"/>
              </w:rPr>
            </w:r>
            <w:r/>
          </w:p>
        </w:tc>
      </w:tr>
      <w:tr>
        <w:trPr>
          <w:trHeight w:val="454"/>
        </w:trPr>
        <w:tc>
          <w:tcPr>
            <w:tcW w:w="876" w:type="dxa"/>
            <w:vAlign w:val="center"/>
            <w:textDirection w:val="lrTb"/>
            <w:noWrap w:val="false"/>
          </w:tcPr>
          <w:p>
            <w:pPr>
              <w:pStyle w:val="859"/>
              <w:jc w:val="center"/>
              <w:spacing w:line="400" w:lineRule="exact"/>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c>
          <w:tcPr>
            <w:tcW w:w="4260" w:type="dxa"/>
            <w:vAlign w:val="center"/>
            <w:textDirection w:val="lrTb"/>
            <w:noWrap w:val="false"/>
          </w:tcPr>
          <w:p>
            <w:pPr>
              <w:pStyle w:val="859"/>
              <w:ind w:right="-24"/>
              <w:jc w:val="center"/>
              <w:spacing w:line="400" w:lineRule="exact"/>
              <w:tabs>
                <w:tab w:val="left" w:pos="341"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230省道吴江收费站财政电子票据改革收费系统改造项目</w:t>
            </w:r>
            <w:r>
              <w:rPr>
                <w:rFonts w:ascii="宋体" w:hAnsi="宋体" w:cs="宋体"/>
              </w:rPr>
            </w:r>
            <w:r/>
          </w:p>
        </w:tc>
        <w:tc>
          <w:tcPr>
            <w:tcW w:w="4010" w:type="dxa"/>
            <w:vAlign w:val="center"/>
            <w:textDirection w:val="lrTb"/>
            <w:noWrap w:val="false"/>
          </w:tcPr>
          <w:p>
            <w:pPr>
              <w:pStyle w:val="859"/>
              <w:ind w:right="-24"/>
              <w:jc w:val="center"/>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人民币柒拾</w:t>
            </w:r>
            <w:r>
              <w:rPr>
                <w:rFonts w:hint="eastAsia" w:ascii="宋体" w:hAnsi="宋体" w:eastAsia="宋体" w:cs="宋体"/>
                <w:color w:val="000000"/>
                <w:sz w:val="21"/>
                <w:szCs w:val="21"/>
                <w:lang w:eastAsia="zh-CN"/>
              </w:rPr>
              <w:t xml:space="preserve">伍</w:t>
            </w:r>
            <w:r>
              <w:rPr>
                <w:rFonts w:hint="eastAsia" w:ascii="宋体" w:hAnsi="宋体" w:eastAsia="宋体" w:cs="宋体"/>
                <w:color w:val="000000"/>
                <w:sz w:val="21"/>
                <w:szCs w:val="21"/>
                <w:lang w:val="en-US" w:eastAsia="zh-CN"/>
              </w:rPr>
              <w:t xml:space="preserve">万</w:t>
            </w:r>
            <w:r>
              <w:rPr>
                <w:rFonts w:hint="eastAsia" w:ascii="宋体" w:hAnsi="宋体" w:eastAsia="宋体" w:cs="宋体"/>
                <w:color w:val="000000"/>
                <w:sz w:val="21"/>
                <w:szCs w:val="21"/>
              </w:rPr>
              <w:t xml:space="preserve">元整（¥7</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0000.00）</w:t>
            </w:r>
            <w:r>
              <w:rPr>
                <w:rFonts w:ascii="宋体" w:hAnsi="宋体" w:cs="宋体"/>
              </w:rPr>
            </w:r>
            <w:r/>
          </w:p>
        </w:tc>
        <w:tc>
          <w:tcPr>
            <w:tcW w:w="972" w:type="dxa"/>
            <w:vAlign w:val="center"/>
            <w:textDirection w:val="lrTb"/>
            <w:noWrap w:val="false"/>
          </w:tcPr>
          <w:p>
            <w:pPr>
              <w:pStyle w:val="859"/>
              <w:ind w:right="-24"/>
              <w:jc w:val="center"/>
              <w:spacing w:line="400" w:lineRule="exact"/>
              <w:tabs>
                <w:tab w:val="left" w:pos="341" w:leader="none"/>
              </w:tabs>
              <w:rPr>
                <w:rFonts w:ascii="宋体" w:hAnsi="宋体" w:cs="宋体"/>
                <w:color w:val="000000"/>
                <w:sz w:val="21"/>
                <w:szCs w:val="21"/>
              </w:rPr>
            </w:pPr>
            <w:r>
              <w:rPr>
                <w:rFonts w:ascii="宋体" w:hAnsi="宋体" w:cs="宋体"/>
                <w:color w:val="000000"/>
                <w:sz w:val="21"/>
                <w:szCs w:val="21"/>
              </w:rPr>
            </w:r>
            <w:r>
              <w:rPr>
                <w:rFonts w:ascii="宋体" w:hAnsi="宋体" w:cs="宋体"/>
              </w:rPr>
            </w:r>
            <w:r/>
          </w:p>
        </w:tc>
      </w:tr>
      <w:tr>
        <w:trPr>
          <w:trHeight w:val="454"/>
        </w:trPr>
        <w:tc>
          <w:tcPr>
            <w:tcW w:w="876" w:type="dxa"/>
            <w:vAlign w:val="center"/>
            <w:textDirection w:val="lrTb"/>
            <w:noWrap w:val="false"/>
          </w:tcPr>
          <w:p>
            <w:pPr>
              <w:pStyle w:val="859"/>
              <w:jc w:val="center"/>
              <w:spacing w:line="400" w:lineRule="exact"/>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rPr>
            </w:r>
            <w:r/>
          </w:p>
        </w:tc>
        <w:tc>
          <w:tcPr>
            <w:tcW w:w="4260" w:type="dxa"/>
            <w:vAlign w:val="center"/>
            <w:textDirection w:val="lrTb"/>
            <w:noWrap w:val="false"/>
          </w:tcPr>
          <w:p>
            <w:pPr>
              <w:pStyle w:val="859"/>
              <w:ind w:right="-24"/>
              <w:jc w:val="center"/>
              <w:spacing w:line="400" w:lineRule="exact"/>
              <w:tabs>
                <w:tab w:val="left" w:pos="341"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258省道桃源收费站财政电子票据改革收费系统改造项目</w:t>
            </w:r>
            <w:r>
              <w:rPr>
                <w:rFonts w:ascii="宋体" w:hAnsi="宋体" w:cs="宋体"/>
              </w:rPr>
            </w:r>
            <w:r/>
          </w:p>
        </w:tc>
        <w:tc>
          <w:tcPr>
            <w:tcW w:w="4010" w:type="dxa"/>
            <w:vAlign w:val="center"/>
            <w:textDirection w:val="lrTb"/>
            <w:noWrap w:val="false"/>
          </w:tcPr>
          <w:p>
            <w:pPr>
              <w:pStyle w:val="859"/>
              <w:ind w:right="-24"/>
              <w:jc w:val="center"/>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人民币壹佰零</w:t>
            </w:r>
            <w:r>
              <w:rPr>
                <w:rFonts w:hint="eastAsia" w:ascii="宋体" w:hAnsi="宋体" w:eastAsia="宋体" w:cs="宋体"/>
                <w:color w:val="000000"/>
                <w:sz w:val="21"/>
                <w:szCs w:val="21"/>
                <w:lang w:eastAsia="zh-CN"/>
              </w:rPr>
              <w:t xml:space="preserve">伍</w:t>
            </w:r>
            <w:r>
              <w:rPr>
                <w:rFonts w:hint="eastAsia" w:ascii="宋体" w:hAnsi="宋体" w:eastAsia="宋体" w:cs="宋体"/>
                <w:color w:val="000000"/>
                <w:sz w:val="21"/>
                <w:szCs w:val="21"/>
              </w:rPr>
              <w:t xml:space="preserve">万元整（¥10</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0000.00）</w:t>
            </w:r>
            <w:r>
              <w:rPr>
                <w:rFonts w:ascii="宋体" w:hAnsi="宋体" w:cs="宋体"/>
              </w:rPr>
            </w:r>
            <w:r/>
          </w:p>
        </w:tc>
        <w:tc>
          <w:tcPr>
            <w:tcW w:w="972" w:type="dxa"/>
            <w:vAlign w:val="center"/>
            <w:textDirection w:val="lrTb"/>
            <w:noWrap w:val="false"/>
          </w:tcPr>
          <w:p>
            <w:pPr>
              <w:pStyle w:val="859"/>
              <w:ind w:right="-24"/>
              <w:jc w:val="center"/>
              <w:spacing w:line="400" w:lineRule="exact"/>
              <w:tabs>
                <w:tab w:val="left" w:pos="341" w:leader="none"/>
              </w:tabs>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bl>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最高限价：</w:t>
      </w:r>
      <w:r>
        <w:rPr>
          <w:rFonts w:hint="eastAsia" w:ascii="宋体" w:hAnsi="宋体" w:eastAsia="宋体" w:cs="宋体"/>
          <w:color w:val="000000"/>
          <w:sz w:val="21"/>
          <w:szCs w:val="21"/>
        </w:rPr>
        <w:t xml:space="preserve">人民币壹佰柒拾壹万元整（¥1710000.00），其中</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4260"/>
        <w:gridCol w:w="4010"/>
        <w:gridCol w:w="972"/>
      </w:tblGrid>
      <w:tr>
        <w:trPr>
          <w:trHeight w:val="454"/>
        </w:trPr>
        <w:tc>
          <w:tcPr>
            <w:tcW w:w="876" w:type="dxa"/>
            <w:vAlign w:val="center"/>
            <w:textDirection w:val="lrTb"/>
            <w:noWrap w:val="false"/>
          </w:tcPr>
          <w:p>
            <w:pPr>
              <w:pStyle w:val="859"/>
              <w:ind w:left="-146" w:right="-120"/>
              <w:jc w:val="center"/>
              <w:spacing w:line="40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序号</w:t>
            </w:r>
            <w:r>
              <w:rPr>
                <w:rFonts w:ascii="宋体" w:hAnsi="宋体" w:cs="宋体"/>
              </w:rPr>
            </w:r>
            <w:r/>
          </w:p>
        </w:tc>
        <w:tc>
          <w:tcPr>
            <w:tcW w:w="4260" w:type="dxa"/>
            <w:vAlign w:val="center"/>
            <w:textDirection w:val="lrTb"/>
            <w:noWrap w:val="false"/>
          </w:tcPr>
          <w:p>
            <w:pPr>
              <w:pStyle w:val="859"/>
              <w:ind w:left="-72" w:right="-24"/>
              <w:jc w:val="center"/>
              <w:spacing w:line="400" w:lineRule="exact"/>
              <w:tabs>
                <w:tab w:val="left" w:pos="341"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分项内容</w:t>
            </w:r>
            <w:r>
              <w:rPr>
                <w:rFonts w:ascii="宋体" w:hAnsi="宋体" w:cs="宋体"/>
              </w:rPr>
            </w:r>
            <w:r/>
          </w:p>
        </w:tc>
        <w:tc>
          <w:tcPr>
            <w:tcW w:w="4010" w:type="dxa"/>
            <w:vAlign w:val="center"/>
            <w:textDirection w:val="lrTb"/>
            <w:noWrap w:val="false"/>
          </w:tcPr>
          <w:p>
            <w:pPr>
              <w:pStyle w:val="859"/>
              <w:ind w:left="-146" w:right="-120"/>
              <w:jc w:val="center"/>
              <w:spacing w:line="40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预算金额</w:t>
            </w:r>
            <w:r>
              <w:rPr>
                <w:rFonts w:ascii="宋体" w:hAnsi="宋体" w:cs="宋体"/>
              </w:rPr>
            </w:r>
            <w:r/>
          </w:p>
        </w:tc>
        <w:tc>
          <w:tcPr>
            <w:tcW w:w="972" w:type="dxa"/>
            <w:vAlign w:val="center"/>
            <w:textDirection w:val="lrTb"/>
            <w:noWrap w:val="false"/>
          </w:tcPr>
          <w:p>
            <w:pPr>
              <w:pStyle w:val="859"/>
              <w:ind w:left="-146" w:right="-120"/>
              <w:jc w:val="center"/>
              <w:spacing w:line="40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备注</w:t>
            </w:r>
            <w:r>
              <w:rPr>
                <w:rFonts w:ascii="宋体" w:hAnsi="宋体" w:cs="宋体"/>
              </w:rPr>
            </w:r>
            <w:r/>
          </w:p>
        </w:tc>
      </w:tr>
      <w:tr>
        <w:trPr>
          <w:trHeight w:val="454"/>
        </w:trPr>
        <w:tc>
          <w:tcPr>
            <w:tcW w:w="876" w:type="dxa"/>
            <w:vAlign w:val="center"/>
            <w:textDirection w:val="lrTb"/>
            <w:noWrap w:val="false"/>
          </w:tcPr>
          <w:p>
            <w:pPr>
              <w:pStyle w:val="859"/>
              <w:jc w:val="center"/>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1</w:t>
            </w:r>
            <w:r>
              <w:rPr>
                <w:rFonts w:ascii="宋体" w:hAnsi="宋体" w:cs="宋体"/>
              </w:rPr>
            </w:r>
            <w:r/>
          </w:p>
        </w:tc>
        <w:tc>
          <w:tcPr>
            <w:tcW w:w="4260" w:type="dxa"/>
            <w:vAlign w:val="center"/>
            <w:textDirection w:val="lrTb"/>
            <w:noWrap w:val="false"/>
          </w:tcPr>
          <w:p>
            <w:pPr>
              <w:pStyle w:val="859"/>
              <w:ind w:right="-24"/>
              <w:jc w:val="center"/>
              <w:spacing w:line="400" w:lineRule="exact"/>
              <w:tabs>
                <w:tab w:val="left" w:pos="341"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230省道吴江收费站财政电子票据改革收费系统改造项目</w:t>
            </w:r>
            <w:r>
              <w:rPr>
                <w:rFonts w:ascii="宋体" w:hAnsi="宋体" w:cs="宋体"/>
              </w:rPr>
            </w:r>
            <w:r/>
          </w:p>
        </w:tc>
        <w:tc>
          <w:tcPr>
            <w:tcW w:w="4010" w:type="dxa"/>
            <w:vAlign w:val="center"/>
            <w:textDirection w:val="lrTb"/>
            <w:noWrap w:val="false"/>
          </w:tcPr>
          <w:p>
            <w:pPr>
              <w:pStyle w:val="859"/>
              <w:ind w:right="-24"/>
              <w:jc w:val="center"/>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人民币柒拾</w:t>
            </w:r>
            <w:r>
              <w:rPr>
                <w:rFonts w:hint="eastAsia" w:ascii="宋体" w:hAnsi="宋体" w:eastAsia="宋体" w:cs="宋体"/>
                <w:color w:val="000000"/>
                <w:sz w:val="21"/>
                <w:szCs w:val="21"/>
                <w:lang w:val="en-US" w:eastAsia="zh-CN"/>
              </w:rPr>
              <w:t xml:space="preserve">万</w:t>
            </w:r>
            <w:r>
              <w:rPr>
                <w:rFonts w:hint="eastAsia" w:ascii="宋体" w:hAnsi="宋体" w:eastAsia="宋体" w:cs="宋体"/>
                <w:color w:val="000000"/>
                <w:sz w:val="21"/>
                <w:szCs w:val="21"/>
              </w:rPr>
              <w:t xml:space="preserve">元整（¥7</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0000.00）</w:t>
            </w:r>
            <w:r>
              <w:rPr>
                <w:rFonts w:ascii="宋体" w:hAnsi="宋体" w:cs="宋体"/>
              </w:rPr>
            </w:r>
            <w:r/>
          </w:p>
        </w:tc>
        <w:tc>
          <w:tcPr>
            <w:tcW w:w="972" w:type="dxa"/>
            <w:vAlign w:val="center"/>
            <w:textDirection w:val="lrTb"/>
            <w:noWrap w:val="false"/>
          </w:tcPr>
          <w:p>
            <w:pPr>
              <w:pStyle w:val="859"/>
              <w:ind w:right="-24"/>
              <w:jc w:val="center"/>
              <w:spacing w:line="400" w:lineRule="exact"/>
              <w:tabs>
                <w:tab w:val="left" w:pos="341" w:leader="none"/>
              </w:tabs>
              <w:rPr>
                <w:rFonts w:ascii="宋体" w:hAnsi="宋体" w:cs="宋体"/>
                <w:color w:val="000000"/>
                <w:sz w:val="21"/>
                <w:szCs w:val="21"/>
              </w:rPr>
            </w:pPr>
            <w:r>
              <w:rPr>
                <w:rFonts w:ascii="宋体" w:hAnsi="宋体" w:eastAsia="宋体" w:cs="宋体"/>
                <w:color w:val="000000"/>
                <w:sz w:val="21"/>
                <w:szCs w:val="21"/>
              </w:rPr>
            </w:r>
            <w:r>
              <w:rPr>
                <w:rFonts w:ascii="宋体" w:hAnsi="宋体" w:cs="宋体"/>
              </w:rPr>
            </w:r>
            <w:r/>
          </w:p>
        </w:tc>
      </w:tr>
      <w:tr>
        <w:trPr>
          <w:trHeight w:val="454"/>
        </w:trPr>
        <w:tc>
          <w:tcPr>
            <w:tcW w:w="876" w:type="dxa"/>
            <w:vAlign w:val="center"/>
            <w:textDirection w:val="lrTb"/>
            <w:noWrap w:val="false"/>
          </w:tcPr>
          <w:p>
            <w:pPr>
              <w:pStyle w:val="859"/>
              <w:jc w:val="center"/>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2</w:t>
            </w:r>
            <w:r>
              <w:rPr>
                <w:rFonts w:ascii="宋体" w:hAnsi="宋体" w:cs="宋体"/>
              </w:rPr>
            </w:r>
            <w:r/>
          </w:p>
        </w:tc>
        <w:tc>
          <w:tcPr>
            <w:tcW w:w="4260" w:type="dxa"/>
            <w:vAlign w:val="center"/>
            <w:textDirection w:val="lrTb"/>
            <w:noWrap w:val="false"/>
          </w:tcPr>
          <w:p>
            <w:pPr>
              <w:pStyle w:val="859"/>
              <w:ind w:right="-24"/>
              <w:jc w:val="center"/>
              <w:spacing w:line="400" w:lineRule="exact"/>
              <w:tabs>
                <w:tab w:val="left" w:pos="341"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258省道桃源收费站财政电子票据改革收费系统改造项目</w:t>
            </w:r>
            <w:r>
              <w:rPr>
                <w:rFonts w:ascii="宋体" w:hAnsi="宋体" w:cs="宋体"/>
              </w:rPr>
            </w:r>
            <w:r/>
          </w:p>
        </w:tc>
        <w:tc>
          <w:tcPr>
            <w:tcW w:w="4010" w:type="dxa"/>
            <w:vAlign w:val="center"/>
            <w:textDirection w:val="lrTb"/>
            <w:noWrap w:val="false"/>
          </w:tcPr>
          <w:p>
            <w:pPr>
              <w:pStyle w:val="859"/>
              <w:ind w:right="-24"/>
              <w:jc w:val="center"/>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人民币壹佰零壹万元整（¥1010000.00）</w:t>
            </w:r>
            <w:r>
              <w:rPr>
                <w:rFonts w:ascii="宋体" w:hAnsi="宋体" w:cs="宋体"/>
              </w:rPr>
            </w:r>
            <w:r/>
          </w:p>
        </w:tc>
        <w:tc>
          <w:tcPr>
            <w:tcW w:w="972" w:type="dxa"/>
            <w:vAlign w:val="center"/>
            <w:textDirection w:val="lrTb"/>
            <w:noWrap w:val="false"/>
          </w:tcPr>
          <w:p>
            <w:pPr>
              <w:pStyle w:val="859"/>
              <w:ind w:right="-24"/>
              <w:jc w:val="center"/>
              <w:spacing w:line="400" w:lineRule="exact"/>
              <w:tabs>
                <w:tab w:val="left" w:pos="341" w:leader="none"/>
              </w:tabs>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bl>
    <w:p>
      <w:pPr>
        <w:pStyle w:val="859"/>
        <w:ind w:firstLine="420"/>
        <w:spacing w:line="460" w:lineRule="exact"/>
        <w:rPr>
          <w:rFonts w:hint="eastAsia" w:ascii="宋体" w:hAnsi="宋体" w:cs="宋体"/>
          <w:color w:val="000000"/>
          <w:sz w:val="21"/>
          <w:szCs w:val="21"/>
          <w:highlight w:val="none"/>
        </w:rPr>
      </w:pPr>
      <w:r>
        <w:rPr>
          <w:rFonts w:hint="eastAsia" w:ascii="宋体" w:hAnsi="宋体" w:eastAsia="宋体" w:cs="宋体"/>
          <w:color w:val="000000"/>
          <w:sz w:val="21"/>
          <w:szCs w:val="21"/>
        </w:rPr>
        <w:t xml:space="preserve">采购需求：为进一步提升江苏省普通公路收费站通行效率和服务水平，强化普通公路通行费票据管理，破解社会公众因纸质票据丢失、损毁带来的报销难题，减少纸张消耗对生态环境的破坏。移动支付设备的应用，可以使得驾乘人员告别现金支付，提升了出入收费站的速度，减少了排队现象，在给用户提供高效出行</w:t>
      </w:r>
      <w:r>
        <w:rPr>
          <w:rFonts w:hint="eastAsia" w:ascii="宋体" w:hAnsi="宋体" w:eastAsia="宋体" w:cs="宋体"/>
          <w:color w:val="000000"/>
          <w:sz w:val="21"/>
          <w:szCs w:val="21"/>
          <w:highlight w:val="none"/>
        </w:rPr>
        <w:t xml:space="preserve">的畅快体验，也为财政电子票据实施奠定基础。具体采购清单及技术要求详见招标文件第四章。</w:t>
      </w:r>
      <w:r>
        <w:rPr>
          <w:rFonts w:ascii="宋体" w:hAnsi="宋体" w:cs="宋体"/>
        </w:rPr>
      </w:r>
      <w:r/>
    </w:p>
    <w:p>
      <w:pPr>
        <w:pStyle w:val="859"/>
        <w:ind w:firstLine="420"/>
        <w:spacing w:line="46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合同履行期限：2025年12月15日前，须完成所有系统部署适配、功能测试验证等全流程工作，保障项目各项应用功能稳定正常运行。</w:t>
      </w:r>
      <w:r>
        <w:rPr>
          <w:rFonts w:ascii="宋体" w:hAnsi="宋体" w:cs="宋体"/>
        </w:rPr>
      </w:r>
      <w:r/>
    </w:p>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验收标准：以招标文件、投标文件、最终签订的合同及中标单位承诺的其他指标为依据，对中标单位所提供各项服务内容的完成质量与效果开展全面核查，确保其符合招标文件及相关标准中明确的各项要求。</w:t>
      </w:r>
      <w:r>
        <w:rPr>
          <w:rFonts w:ascii="宋体" w:hAnsi="宋体" w:cs="宋体"/>
        </w:rPr>
      </w:r>
      <w:r/>
    </w:p>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本项目不接受联合体投标。</w:t>
      </w:r>
      <w:r>
        <w:rPr>
          <w:rFonts w:ascii="宋体" w:hAnsi="宋体" w:cs="宋体"/>
        </w:rPr>
      </w:r>
      <w:r/>
    </w:p>
    <w:p>
      <w:pPr>
        <w:pStyle w:val="861"/>
        <w:ind w:left="0" w:firstLine="422"/>
        <w:spacing w:before="0" w:after="0" w:line="460" w:lineRule="exact"/>
        <w:tabs>
          <w:tab w:val="left" w:pos="576" w:leader="none"/>
        </w:tabs>
        <w:rPr>
          <w:rFonts w:hint="eastAsia" w:ascii="宋体" w:hAnsi="宋体" w:cs="宋体"/>
          <w:color w:val="000000"/>
          <w:sz w:val="21"/>
          <w:szCs w:val="21"/>
        </w:rPr>
      </w:pPr>
      <w:r>
        <w:rPr>
          <w:rFonts w:ascii="宋体" w:hAnsi="宋体" w:cs="宋体"/>
        </w:rPr>
      </w:r>
      <w:bookmarkStart w:id="9" w:name="_Toc35393799"/>
      <w:r>
        <w:rPr>
          <w:rFonts w:ascii="宋体" w:hAnsi="宋体" w:cs="宋体"/>
        </w:rPr>
      </w:r>
      <w:bookmarkStart w:id="10" w:name="_Toc35393630"/>
      <w:r>
        <w:rPr>
          <w:rFonts w:ascii="宋体" w:hAnsi="宋体" w:cs="宋体"/>
        </w:rPr>
      </w:r>
      <w:bookmarkStart w:id="11" w:name="_Toc28359090"/>
      <w:r>
        <w:rPr>
          <w:rFonts w:ascii="宋体" w:hAnsi="宋体" w:cs="宋体"/>
        </w:rPr>
      </w:r>
      <w:bookmarkStart w:id="12" w:name="_Toc28359013"/>
      <w:r>
        <w:rPr>
          <w:rFonts w:hint="eastAsia" w:ascii="宋体" w:hAnsi="宋体" w:eastAsia="宋体" w:cs="宋体"/>
          <w:color w:val="000000"/>
          <w:sz w:val="21"/>
          <w:szCs w:val="21"/>
        </w:rPr>
        <w:t xml:space="preserve">二、申请人的资格要求：</w:t>
      </w:r>
      <w:bookmarkEnd w:id="9"/>
      <w:r>
        <w:rPr>
          <w:rFonts w:ascii="宋体" w:hAnsi="宋体" w:cs="宋体"/>
        </w:rPr>
      </w:r>
      <w:bookmarkEnd w:id="10"/>
      <w:r>
        <w:rPr>
          <w:rFonts w:ascii="宋体" w:hAnsi="宋体" w:cs="宋体"/>
        </w:rPr>
      </w:r>
      <w:bookmarkEnd w:id="11"/>
      <w:r>
        <w:rPr>
          <w:rFonts w:ascii="宋体" w:hAnsi="宋体" w:cs="宋体"/>
        </w:rPr>
      </w:r>
      <w:bookmarkEnd w:id="12"/>
      <w:r>
        <w:rPr>
          <w:rFonts w:ascii="宋体" w:hAnsi="宋体" w:cs="宋体"/>
        </w:rPr>
      </w:r>
      <w:r/>
    </w:p>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1.满足《中华人民共和国政府采购法》第二十二条规定；</w:t>
      </w:r>
      <w:r>
        <w:rPr>
          <w:rFonts w:ascii="宋体" w:hAnsi="宋体" w:cs="宋体"/>
        </w:rPr>
      </w:r>
      <w:r/>
    </w:p>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（1）具有独立承担民事责任的能力；</w:t>
      </w:r>
      <w:r>
        <w:rPr>
          <w:rFonts w:ascii="宋体" w:hAnsi="宋体" w:cs="宋体"/>
        </w:rPr>
      </w:r>
      <w:r/>
    </w:p>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（2）具有良好的商业信誉和健全的财务会计制度；</w:t>
      </w:r>
      <w:r>
        <w:rPr>
          <w:rFonts w:ascii="宋体" w:hAnsi="宋体" w:cs="宋体"/>
        </w:rPr>
      </w:r>
      <w:r/>
    </w:p>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（3）具有履行合同所必需的设备和专业技术能力；</w:t>
      </w:r>
      <w:r>
        <w:rPr>
          <w:rFonts w:ascii="宋体" w:hAnsi="宋体" w:cs="宋体"/>
        </w:rPr>
      </w:r>
      <w:r/>
    </w:p>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（4）有依法缴纳税收和社会保障资金的良好记录；</w:t>
      </w:r>
      <w:r>
        <w:rPr>
          <w:rFonts w:ascii="宋体" w:hAnsi="宋体" w:cs="宋体"/>
        </w:rPr>
      </w:r>
      <w:r/>
    </w:p>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（5）参加政府采购活动前三年内，在经营活动中没有重大违法记录；</w:t>
      </w:r>
      <w:r>
        <w:rPr>
          <w:rFonts w:ascii="宋体" w:hAnsi="宋体" w:cs="宋体"/>
        </w:rPr>
      </w:r>
      <w:r/>
    </w:p>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（6）法律、行政法规规定的其他条件。 </w:t>
      </w:r>
      <w:r>
        <w:rPr>
          <w:rFonts w:ascii="宋体" w:hAnsi="宋体" w:cs="宋体"/>
        </w:rPr>
      </w:r>
      <w:r/>
    </w:p>
    <w:p>
      <w:pPr>
        <w:pStyle w:val="859"/>
        <w:ind w:firstLine="422"/>
        <w:spacing w:line="460" w:lineRule="exact"/>
        <w:rPr>
          <w:rFonts w:hint="eastAsia" w:ascii="宋体" w:hAnsi="宋体" w:cs="宋体"/>
          <w:b/>
          <w:bCs/>
          <w:color w:val="000000"/>
          <w:sz w:val="21"/>
          <w:szCs w:val="21"/>
        </w:rPr>
      </w:pPr>
      <w:r>
        <w:rPr>
          <w:rFonts w:ascii="宋体" w:hAnsi="宋体" w:cs="宋体"/>
        </w:rPr>
      </w:r>
      <w:bookmarkStart w:id="13" w:name="_Toc28359014"/>
      <w:r>
        <w:rPr>
          <w:rFonts w:ascii="宋体" w:hAnsi="宋体" w:cs="宋体"/>
        </w:rPr>
      </w:r>
      <w:bookmarkStart w:id="14" w:name="_Toc28359091"/>
      <w:r>
        <w:rPr>
          <w:rFonts w:hint="eastAsia" w:ascii="宋体" w:hAnsi="宋体" w:eastAsia="宋体" w:cs="宋体"/>
          <w:b/>
          <w:bCs/>
          <w:color w:val="000000"/>
          <w:sz w:val="21"/>
          <w:szCs w:val="21"/>
        </w:rPr>
        <w:t xml:space="preserve">2.落实政府采购政策需满足的资格要求：根据《政府采购促进中小企业发展管理办法》的相关规定，本项目专门面向中小微企业采购（响应单位必须为中小微企业、残疾人福利性单位或监狱企业，并提供相关声明函，否则为无效投标），所属行业为“软件和信息技术服务业”。</w:t>
      </w:r>
      <w:r>
        <w:rPr>
          <w:rFonts w:ascii="宋体" w:hAnsi="宋体" w:cs="宋体"/>
        </w:rPr>
      </w:r>
      <w:r/>
    </w:p>
    <w:p>
      <w:pPr>
        <w:pStyle w:val="859"/>
        <w:ind w:firstLine="420"/>
        <w:spacing w:line="460" w:lineRule="exact"/>
        <w:rPr>
          <w:rFonts w:hint="eastAsia" w:ascii="宋体" w:hAnsi="宋体" w:cs="宋体"/>
          <w:color w:val="000000"/>
          <w:sz w:val="21"/>
          <w:szCs w:val="21"/>
          <w:u w:val="single"/>
        </w:rPr>
      </w:pPr>
      <w:r>
        <w:rPr>
          <w:rFonts w:hint="eastAsia" w:ascii="宋体" w:hAnsi="宋体" w:eastAsia="宋体" w:cs="宋体"/>
          <w:color w:val="000000"/>
          <w:sz w:val="21"/>
          <w:szCs w:val="21"/>
        </w:rPr>
        <w:t xml:space="preserve">3.本项目的特定资格要求：</w:t>
      </w:r>
      <w:r>
        <w:rPr>
          <w:rFonts w:ascii="宋体" w:hAnsi="宋体" w:cs="宋体"/>
        </w:rPr>
      </w:r>
      <w:r/>
    </w:p>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（1）未被“信用中国”网站（www.creditchina.gov.cn）或“中国政府采购网”网站（www.ccgp.gov.cn）列入失信被执行人、重大税收违法案件当事人名单、政府采购严重失信行为记录名单；</w:t>
      </w:r>
      <w:r>
        <w:rPr>
          <w:rFonts w:ascii="宋体" w:hAnsi="宋体" w:cs="宋体"/>
        </w:rPr>
      </w:r>
      <w:r/>
    </w:p>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（2）本项目</w:t>
      </w:r>
      <w:r>
        <w:rPr>
          <w:rFonts w:hint="eastAsia" w:ascii="宋体" w:hAnsi="宋体" w:eastAsia="宋体" w:cs="宋体"/>
          <w:color w:val="000000"/>
          <w:sz w:val="21"/>
          <w:szCs w:val="21"/>
          <w:u w:val="single"/>
        </w:rPr>
        <w:t xml:space="preserve">不接受</w:t>
      </w:r>
      <w:r>
        <w:rPr>
          <w:rFonts w:hint="eastAsia" w:ascii="宋体" w:hAnsi="宋体" w:eastAsia="宋体" w:cs="宋体"/>
          <w:color w:val="000000"/>
          <w:sz w:val="21"/>
          <w:szCs w:val="21"/>
        </w:rPr>
        <w:t xml:space="preserve">联合体投标；</w:t>
      </w:r>
      <w:r>
        <w:rPr>
          <w:rFonts w:ascii="宋体" w:hAnsi="宋体" w:cs="宋体"/>
        </w:rPr>
      </w:r>
      <w:r/>
    </w:p>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rPr>
      </w:r>
      <w:r/>
    </w:p>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（4）法人的分支机构不得参加政府采购活动（除银行、保险、石油石化、电力、电信等行业特殊情况外）。 </w:t>
      </w:r>
      <w:r>
        <w:rPr>
          <w:rFonts w:ascii="宋体" w:hAnsi="宋体" w:cs="宋体"/>
        </w:rPr>
      </w:r>
      <w:r/>
    </w:p>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（5）</w:t>
      </w:r>
      <w:bookmarkStart w:id="15" w:name="_Toc35393800"/>
      <w:r>
        <w:rPr>
          <w:rFonts w:ascii="宋体" w:hAnsi="宋体" w:cs="宋体"/>
        </w:rPr>
      </w:r>
      <w:bookmarkStart w:id="16" w:name="_Toc35393631"/>
      <w:r>
        <w:rPr>
          <w:rFonts w:hint="eastAsia" w:ascii="宋体" w:hAnsi="宋体" w:eastAsia="宋体" w:cs="宋体"/>
          <w:color w:val="000000"/>
          <w:sz w:val="21"/>
          <w:szCs w:val="21"/>
        </w:rPr>
        <w:t xml:space="preserve">本项目的特定资格要求：无。</w:t>
      </w:r>
      <w:r>
        <w:rPr>
          <w:rFonts w:ascii="宋体" w:hAnsi="宋体" w:cs="宋体"/>
        </w:rPr>
      </w:r>
      <w:r/>
    </w:p>
    <w:p>
      <w:pPr>
        <w:pStyle w:val="861"/>
        <w:ind w:left="0" w:firstLine="422"/>
        <w:spacing w:before="0" w:after="0" w:line="460" w:lineRule="exact"/>
        <w:tabs>
          <w:tab w:val="left" w:pos="576"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三、获取招标文件</w:t>
      </w:r>
      <w:bookmarkEnd w:id="13"/>
      <w:r>
        <w:rPr>
          <w:rFonts w:ascii="宋体" w:hAnsi="宋体" w:cs="宋体"/>
        </w:rPr>
      </w:r>
      <w:bookmarkEnd w:id="14"/>
      <w:r>
        <w:rPr>
          <w:rFonts w:ascii="宋体" w:hAnsi="宋体" w:cs="宋体"/>
        </w:rPr>
      </w:r>
      <w:bookmarkEnd w:id="15"/>
      <w:r>
        <w:rPr>
          <w:rFonts w:ascii="宋体" w:hAnsi="宋体" w:cs="宋体"/>
        </w:rPr>
      </w:r>
      <w:bookmarkEnd w:id="16"/>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1.时间：自招标公告发布之日起5个工作日。</w:t>
      </w:r>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2.地点：“苏采云政府采购一体化平台”系统自行下载。</w:t>
      </w:r>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3.方式：</w:t>
      </w:r>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（1）CA证书办理 </w:t>
      </w:r>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sz w:val="21"/>
          <w:szCs w:val="21"/>
          <w:lang w:val="zh-CN"/>
        </w:rPr>
        <w:t xml:space="preserve">苏采云”系统目前仅支持“苏采云”系统下的政务CA证书，江苏省内各地区办理的“苏采云”系统下的政务CA证书全省通用。</w:t>
      </w:r>
      <w:r>
        <w:rPr>
          <w:rFonts w:hint="eastAsia" w:ascii="宋体" w:hAnsi="宋体" w:eastAsia="宋体" w:cs="宋体"/>
          <w:color w:val="000000"/>
          <w:sz w:val="21"/>
          <w:szCs w:val="21"/>
          <w:lang w:val="zh-CN"/>
        </w:rPr>
        <w:t xml:space="preserve">苏州现场办理地址：苏州市姑苏区平泷路251号政务服务中心4楼公共交易中心窗口，咨询电话：0512-69820834。 </w:t>
      </w:r>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（2）参与采购活动 </w:t>
      </w:r>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（3）电子投标准备 </w:t>
      </w:r>
      <w:r>
        <w:rPr>
          <w:rFonts w:ascii="宋体" w:hAnsi="宋体" w:cs="宋体"/>
        </w:rPr>
      </w:r>
      <w:r/>
    </w:p>
    <w:p>
      <w:pPr>
        <w:pStyle w:val="859"/>
        <w:ind w:firstLine="420"/>
        <w:jc w:val="left"/>
        <w:spacing w:line="460" w:lineRule="exact"/>
        <w:widowControl/>
        <w:rPr>
          <w:rFonts w:hint="eastAsia" w:ascii="宋体" w:hAnsi="宋体" w:cs="宋体"/>
          <w:b/>
          <w:bCs/>
          <w:color w:val="000000"/>
          <w:sz w:val="21"/>
          <w:szCs w:val="21"/>
        </w:rPr>
      </w:pPr>
      <w:r>
        <w:rPr>
          <w:rFonts w:hint="eastAsia" w:ascii="宋体" w:hAnsi="宋体" w:eastAsia="宋体" w:cs="宋体"/>
          <w:color w:val="000000"/>
          <w:sz w:val="21"/>
          <w:szCs w:val="21"/>
          <w:lang w:val="zh-CN"/>
        </w:rPr>
        <w:t xml:space="preserve">供应商在“苏采云”系统中操作参与项目后，必须在“已参与项目”界面中下载电子采购文件（后缀名为“.kedt”）并导入政府采购客户端工具后方可进行投标文件制作和提交</w:t>
      </w:r>
      <w:r>
        <w:rPr>
          <w:rFonts w:hint="eastAsia" w:ascii="宋体" w:hAnsi="宋体" w:eastAsia="宋体" w:cs="宋体"/>
          <w:b/>
          <w:bCs/>
          <w:color w:val="000000"/>
          <w:sz w:val="21"/>
          <w:szCs w:val="21"/>
          <w:lang w:val="zh-CN"/>
        </w:rPr>
        <w:t xml:space="preserve">（具体详见《苏采云系统供应商操作手册》，网址链接https：//czju.suzhou.gov.cn/zfcg/html/content/20231220161910031.shtml）。 </w:t>
      </w:r>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w:t>
      </w:r>
      <w:r>
        <w:rPr>
          <w:rFonts w:hint="eastAsia" w:ascii="宋体" w:hAnsi="宋体" w:cs="宋体"/>
          <w:color w:val="000000"/>
          <w:sz w:val="21"/>
          <w:szCs w:val="21"/>
        </w:rPr>
        <w:t xml:space="preserve">4</w:t>
      </w:r>
      <w:r>
        <w:rPr>
          <w:rFonts w:hint="eastAsia" w:ascii="宋体" w:hAnsi="宋体" w:eastAsia="宋体" w:cs="宋体"/>
          <w:color w:val="000000"/>
          <w:sz w:val="21"/>
          <w:szCs w:val="21"/>
          <w:lang w:val="zh-CN"/>
        </w:rPr>
        <w:t xml:space="preserve">）补充通知（如有）。成功获取招标文件的供应商通过“苏州市政府采购网”或“苏采云”系统自行查看所报项目的补充通知。</w:t>
      </w:r>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cs="宋体"/>
          <w:color w:val="000000"/>
          <w:sz w:val="21"/>
          <w:szCs w:val="21"/>
          <w:lang w:val="zh-CN"/>
        </w:rPr>
        <w:t xml:space="preserve">3</w:t>
      </w:r>
      <w:r>
        <w:rPr>
          <w:rFonts w:hint="eastAsia" w:ascii="宋体" w:hAnsi="宋体" w:cs="宋体"/>
          <w:color w:val="000000"/>
          <w:sz w:val="21"/>
          <w:szCs w:val="21"/>
        </w:rPr>
        <w:t xml:space="preserve">.</w:t>
      </w:r>
      <w:r>
        <w:rPr>
          <w:rFonts w:hint="eastAsia" w:ascii="宋体" w:hAnsi="宋体" w:eastAsia="宋体" w:cs="宋体"/>
          <w:color w:val="000000"/>
          <w:sz w:val="21"/>
          <w:szCs w:val="21"/>
          <w:lang w:val="zh-CN"/>
        </w:rPr>
        <w:t xml:space="preserve">在系统操作过程中如有疑问，请按以下方式联系：</w:t>
      </w:r>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注册咨询：18261002950； </w:t>
      </w:r>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CA技术咨询电话：400-608-6099； </w:t>
      </w:r>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签章使用问题：025-83633811、025-83633812、15380932027、15371015030； </w:t>
      </w:r>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系统使用指导与咨询：联系电话：18261002950；QQ：3048755361、1315179389、895706745；智能客服：登录苏采云系统后，联系系统右下方智能客服图标进行咨询。</w:t>
      </w:r>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4.售价：</w:t>
      </w:r>
      <w:r>
        <w:rPr>
          <w:rFonts w:hint="eastAsia" w:ascii="宋体" w:hAnsi="宋体" w:eastAsia="宋体" w:cs="宋体"/>
          <w:color w:val="000000"/>
          <w:sz w:val="21"/>
          <w:szCs w:val="21"/>
        </w:rPr>
        <w:t xml:space="preserve">0元</w:t>
      </w:r>
      <w:r>
        <w:rPr>
          <w:rFonts w:hint="eastAsia" w:ascii="宋体" w:hAnsi="宋体" w:eastAsia="宋体" w:cs="宋体"/>
          <w:color w:val="000000"/>
          <w:sz w:val="21"/>
          <w:szCs w:val="21"/>
          <w:lang w:val="zh-CN"/>
        </w:rPr>
        <w:t xml:space="preserve">。</w:t>
      </w:r>
      <w:r>
        <w:rPr>
          <w:rFonts w:ascii="宋体" w:hAnsi="宋体" w:cs="宋体"/>
        </w:rPr>
      </w:r>
      <w:r/>
    </w:p>
    <w:p>
      <w:pPr>
        <w:pStyle w:val="861"/>
        <w:ind w:left="0" w:firstLine="422"/>
        <w:spacing w:before="0" w:after="0" w:line="460" w:lineRule="exact"/>
        <w:tabs>
          <w:tab w:val="left" w:pos="576" w:leader="none"/>
        </w:tabs>
        <w:rPr>
          <w:rFonts w:hint="eastAsia" w:ascii="宋体" w:hAnsi="宋体" w:cs="宋体"/>
          <w:color w:val="000000"/>
          <w:sz w:val="21"/>
          <w:szCs w:val="21"/>
        </w:rPr>
      </w:pPr>
      <w:r>
        <w:rPr>
          <w:rFonts w:ascii="宋体" w:hAnsi="宋体" w:cs="宋体"/>
        </w:rPr>
      </w:r>
      <w:bookmarkStart w:id="17" w:name="_Toc35393632"/>
      <w:r>
        <w:rPr>
          <w:rFonts w:ascii="宋体" w:hAnsi="宋体" w:cs="宋体"/>
        </w:rPr>
      </w:r>
      <w:bookmarkStart w:id="18" w:name="_Toc28359015"/>
      <w:r>
        <w:rPr>
          <w:rFonts w:ascii="宋体" w:hAnsi="宋体" w:cs="宋体"/>
        </w:rPr>
      </w:r>
      <w:bookmarkStart w:id="19" w:name="_Toc35393801"/>
      <w:r>
        <w:rPr>
          <w:rFonts w:ascii="宋体" w:hAnsi="宋体" w:cs="宋体"/>
        </w:rPr>
      </w:r>
      <w:bookmarkStart w:id="20" w:name="_Toc28359092"/>
      <w:r>
        <w:rPr>
          <w:rFonts w:hint="eastAsia" w:ascii="宋体" w:hAnsi="宋体" w:eastAsia="宋体" w:cs="宋体"/>
          <w:color w:val="000000"/>
          <w:sz w:val="21"/>
          <w:szCs w:val="21"/>
        </w:rPr>
        <w:t xml:space="preserve">四、</w:t>
      </w:r>
      <w:bookmarkEnd w:id="17"/>
      <w:r>
        <w:rPr>
          <w:rFonts w:ascii="宋体" w:hAnsi="宋体" w:cs="宋体"/>
        </w:rPr>
      </w:r>
      <w:bookmarkEnd w:id="18"/>
      <w:r>
        <w:rPr>
          <w:rFonts w:ascii="宋体" w:hAnsi="宋体" w:cs="宋体"/>
        </w:rPr>
      </w:r>
      <w:bookmarkEnd w:id="19"/>
      <w:r>
        <w:rPr>
          <w:rFonts w:ascii="宋体" w:hAnsi="宋体" w:cs="宋体"/>
        </w:rPr>
      </w:r>
      <w:bookmarkEnd w:id="20"/>
      <w:r>
        <w:rPr>
          <w:rFonts w:hint="eastAsia" w:ascii="宋体" w:hAnsi="宋体" w:eastAsia="宋体" w:cs="宋体"/>
          <w:color w:val="000000"/>
          <w:sz w:val="21"/>
          <w:szCs w:val="21"/>
          <w:lang w:bidi="ar"/>
        </w:rPr>
        <w:t xml:space="preserve">提交电子投标文件截止时间、开标时间和地点</w:t>
      </w:r>
      <w:r>
        <w:rPr>
          <w:rFonts w:ascii="宋体" w:hAnsi="宋体" w:cs="宋体"/>
        </w:rPr>
      </w:r>
      <w:r/>
    </w:p>
    <w:p>
      <w:pPr>
        <w:pStyle w:val="859"/>
        <w:ind w:firstLine="420"/>
        <w:jc w:val="left"/>
        <w:spacing w:line="460" w:lineRule="exact"/>
        <w:rPr>
          <w:rFonts w:hint="eastAsia" w:ascii="宋体" w:hAnsi="宋体" w:cs="宋体"/>
          <w:color w:val="000000"/>
          <w:sz w:val="21"/>
          <w:szCs w:val="21"/>
        </w:rPr>
      </w:pPr>
      <w:r>
        <w:rPr>
          <w:rFonts w:ascii="宋体" w:hAnsi="宋体" w:cs="宋体"/>
        </w:rPr>
      </w:r>
      <w:bookmarkStart w:id="21" w:name="_Hlk61337266"/>
      <w:r>
        <w:rPr>
          <w:rFonts w:hint="eastAsia" w:ascii="宋体" w:hAnsi="宋体" w:eastAsia="宋体" w:cs="宋体"/>
          <w:color w:val="000000"/>
          <w:sz w:val="21"/>
          <w:szCs w:val="21"/>
        </w:rPr>
        <w:t xml:space="preserve">1.提交投标文件截止时间：2025年10月31日13：30（北京时间）； </w:t>
      </w:r>
      <w:r>
        <w:rPr>
          <w:rFonts w:ascii="宋体" w:hAnsi="宋体" w:cs="宋体"/>
        </w:rPr>
      </w:r>
      <w:r/>
    </w:p>
    <w:p>
      <w:pPr>
        <w:pStyle w:val="859"/>
        <w:ind w:firstLine="420"/>
        <w:jc w:val="left"/>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2.开标时间：2025年10月31日13：30（北京时间）；</w:t>
      </w:r>
      <w:r>
        <w:rPr>
          <w:rFonts w:ascii="宋体" w:hAnsi="宋体" w:cs="宋体"/>
        </w:rPr>
      </w:r>
      <w:r/>
    </w:p>
    <w:p>
      <w:pPr>
        <w:pStyle w:val="859"/>
        <w:ind w:firstLine="420"/>
        <w:jc w:val="left"/>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3.开标地点：“苏采云”系统（网址：http：//jszfcg.jsczt.cn/）</w:t>
      </w:r>
      <w:r>
        <w:rPr>
          <w:rFonts w:ascii="宋体" w:hAnsi="宋体" w:cs="宋体"/>
        </w:rPr>
      </w:r>
      <w:r/>
    </w:p>
    <w:p>
      <w:pPr>
        <w:pStyle w:val="859"/>
        <w:ind w:firstLine="420"/>
        <w:jc w:val="left"/>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eastAsia="宋体" w:cs="宋体"/>
          <w:b/>
          <w:bCs/>
          <w:color w:val="000000"/>
          <w:sz w:val="21"/>
          <w:szCs w:val="21"/>
        </w:rPr>
        <w:t xml:space="preserve">本项目采用电子招投标形式，请供应商按照《苏采云系统供应商操作手册》进行制作、上传电子投标文件。</w:t>
      </w:r>
      <w:r>
        <w:rPr>
          <w:rFonts w:hint="eastAsia" w:ascii="宋体" w:hAnsi="宋体" w:eastAsia="宋体" w:cs="宋体"/>
          <w:color w:val="000000"/>
          <w:sz w:val="21"/>
          <w:szCs w:val="21"/>
        </w:rPr>
        <w:t xml:space="preserve">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cs="宋体"/>
        </w:rPr>
      </w:r>
      <w:r/>
    </w:p>
    <w:p>
      <w:pPr>
        <w:pStyle w:val="859"/>
        <w:ind w:firstLine="420"/>
        <w:jc w:val="left"/>
        <w:spacing w:line="460" w:lineRule="exact"/>
        <w:rPr>
          <w:rFonts w:hint="eastAsia" w:ascii="宋体" w:hAnsi="宋体" w:cs="宋体"/>
          <w:b/>
          <w:bCs/>
          <w:color w:val="000000"/>
          <w:sz w:val="21"/>
          <w:szCs w:val="21"/>
        </w:rPr>
      </w:pPr>
      <w:r>
        <w:rPr>
          <w:rFonts w:hint="eastAsia" w:ascii="宋体" w:hAnsi="宋体" w:eastAsia="宋体" w:cs="宋体"/>
          <w:color w:val="000000"/>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cs="宋体"/>
        </w:rPr>
      </w:r>
      <w:r/>
    </w:p>
    <w:p>
      <w:pPr>
        <w:pStyle w:val="859"/>
        <w:ind w:firstLine="422"/>
        <w:jc w:val="left"/>
        <w:spacing w:line="46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请供应商确保电脑、系统及其他设备（视频输入输出设备等）无误，且开标直至项目结束始终保持系统在线状态。</w:t>
      </w:r>
      <w:r>
        <w:rPr>
          <w:rFonts w:ascii="宋体" w:hAnsi="宋体" w:cs="宋体"/>
        </w:rPr>
      </w:r>
      <w:r/>
    </w:p>
    <w:p>
      <w:pPr>
        <w:pStyle w:val="859"/>
        <w:ind w:firstLine="422"/>
        <w:spacing w:line="460" w:lineRule="exact"/>
        <w:rPr>
          <w:rFonts w:hint="eastAsia" w:ascii="宋体" w:hAnsi="宋体" w:cs="宋体"/>
          <w:b/>
          <w:bCs/>
          <w:color w:val="000000"/>
          <w:sz w:val="21"/>
          <w:szCs w:val="21"/>
        </w:rPr>
      </w:pPr>
      <w:r>
        <w:rPr>
          <w:rFonts w:ascii="宋体" w:hAnsi="宋体" w:cs="宋体"/>
        </w:rPr>
      </w:r>
      <w:bookmarkEnd w:id="21"/>
      <w:r>
        <w:rPr>
          <w:rFonts w:ascii="宋体" w:hAnsi="宋体" w:cs="宋体"/>
        </w:rPr>
      </w:r>
      <w:bookmarkStart w:id="22" w:name="_Toc28359094"/>
      <w:r>
        <w:rPr>
          <w:rFonts w:ascii="宋体" w:hAnsi="宋体" w:cs="宋体"/>
        </w:rPr>
      </w:r>
      <w:bookmarkStart w:id="23" w:name="_Toc35393634"/>
      <w:r>
        <w:rPr>
          <w:rFonts w:ascii="宋体" w:hAnsi="宋体" w:cs="宋体"/>
        </w:rPr>
      </w:r>
      <w:bookmarkStart w:id="24" w:name="_Toc35393803"/>
      <w:r>
        <w:rPr>
          <w:rFonts w:ascii="宋体" w:hAnsi="宋体" w:cs="宋体"/>
        </w:rPr>
      </w:r>
      <w:bookmarkStart w:id="25" w:name="_Toc28359017"/>
      <w:r>
        <w:rPr>
          <w:rFonts w:hint="eastAsia" w:ascii="宋体" w:hAnsi="宋体" w:eastAsia="宋体" w:cs="宋体"/>
          <w:b/>
          <w:bCs/>
          <w:color w:val="000000"/>
          <w:sz w:val="21"/>
          <w:szCs w:val="21"/>
        </w:rPr>
        <w:t xml:space="preserve">五、公告期限</w:t>
      </w:r>
      <w:bookmarkEnd w:id="22"/>
      <w:r>
        <w:rPr>
          <w:rFonts w:ascii="宋体" w:hAnsi="宋体" w:cs="宋体"/>
        </w:rPr>
      </w:r>
      <w:bookmarkEnd w:id="23"/>
      <w:r>
        <w:rPr>
          <w:rFonts w:ascii="宋体" w:hAnsi="宋体" w:cs="宋体"/>
        </w:rPr>
      </w:r>
      <w:bookmarkEnd w:id="24"/>
      <w:r>
        <w:rPr>
          <w:rFonts w:ascii="宋体" w:hAnsi="宋体" w:cs="宋体"/>
        </w:rPr>
      </w:r>
      <w:bookmarkEnd w:id="25"/>
      <w:r>
        <w:rPr>
          <w:rFonts w:ascii="宋体" w:hAnsi="宋体" w:cs="宋体"/>
        </w:rPr>
      </w:r>
      <w:r/>
    </w:p>
    <w:p>
      <w:pPr>
        <w:pStyle w:val="859"/>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自本公告发布之日起5个工作日。</w:t>
      </w:r>
      <w:r>
        <w:rPr>
          <w:rFonts w:ascii="宋体" w:hAnsi="宋体" w:cs="宋体"/>
        </w:rPr>
      </w:r>
      <w:r/>
    </w:p>
    <w:p>
      <w:pPr>
        <w:pStyle w:val="861"/>
        <w:ind w:left="0" w:firstLine="422"/>
        <w:spacing w:before="0" w:after="0" w:line="460" w:lineRule="exact"/>
        <w:tabs>
          <w:tab w:val="left" w:pos="576" w:leader="none"/>
        </w:tabs>
        <w:rPr>
          <w:rFonts w:hint="eastAsia" w:ascii="宋体" w:hAnsi="宋体" w:cs="宋体"/>
          <w:color w:val="000000"/>
          <w:sz w:val="21"/>
          <w:szCs w:val="21"/>
        </w:rPr>
      </w:pPr>
      <w:r>
        <w:rPr>
          <w:rFonts w:ascii="宋体" w:hAnsi="宋体" w:cs="宋体"/>
        </w:rPr>
      </w:r>
      <w:bookmarkStart w:id="26" w:name="_Toc35393804"/>
      <w:r>
        <w:rPr>
          <w:rFonts w:ascii="宋体" w:hAnsi="宋体" w:cs="宋体"/>
        </w:rPr>
      </w:r>
      <w:bookmarkStart w:id="27" w:name="_Toc35393635"/>
      <w:r>
        <w:rPr>
          <w:rFonts w:hint="eastAsia" w:ascii="宋体" w:hAnsi="宋体" w:eastAsia="宋体" w:cs="宋体"/>
          <w:color w:val="000000"/>
          <w:sz w:val="21"/>
          <w:szCs w:val="21"/>
        </w:rPr>
        <w:t xml:space="preserve">六、其他补充事宜</w:t>
      </w:r>
      <w:bookmarkEnd w:id="26"/>
      <w:r>
        <w:rPr>
          <w:rFonts w:ascii="宋体" w:hAnsi="宋体" w:cs="宋体"/>
        </w:rPr>
      </w:r>
      <w:bookmarkEnd w:id="27"/>
      <w:r>
        <w:rPr>
          <w:rFonts w:ascii="宋体" w:hAnsi="宋体" w:cs="宋体"/>
        </w:rPr>
      </w:r>
      <w:r/>
    </w:p>
    <w:p>
      <w:pPr>
        <w:pStyle w:val="859"/>
        <w:ind w:firstLine="420"/>
        <w:jc w:val="left"/>
        <w:spacing w:line="460" w:lineRule="exact"/>
        <w:rPr>
          <w:rFonts w:hint="eastAsia" w:ascii="宋体" w:hAnsi="宋体" w:cs="宋体"/>
          <w:color w:val="000000"/>
          <w:sz w:val="21"/>
          <w:szCs w:val="21"/>
        </w:rPr>
      </w:pPr>
      <w:r>
        <w:rPr>
          <w:rFonts w:ascii="宋体" w:hAnsi="宋体" w:cs="宋体"/>
        </w:rPr>
      </w:r>
      <w:bookmarkStart w:id="28" w:name="OLE_LINK4"/>
      <w:r>
        <w:rPr>
          <w:rFonts w:hint="eastAsia" w:ascii="宋体" w:hAnsi="宋体" w:eastAsia="宋体" w:cs="宋体"/>
          <w:color w:val="000000"/>
          <w:sz w:val="21"/>
          <w:szCs w:val="21"/>
        </w:rPr>
        <w:t xml:space="preserve">1.“苏采云”系统网址：http：//jszfcg.jsczt.cn/。</w:t>
      </w:r>
      <w:r>
        <w:rPr>
          <w:rFonts w:ascii="宋体" w:hAnsi="宋体" w:cs="宋体"/>
        </w:rPr>
      </w:r>
      <w:r/>
    </w:p>
    <w:p>
      <w:pPr>
        <w:pStyle w:val="859"/>
        <w:ind w:firstLine="420"/>
        <w:jc w:val="left"/>
        <w:spacing w:line="460" w:lineRule="exact"/>
        <w:rPr>
          <w:rFonts w:hint="eastAsia" w:ascii="宋体" w:hAnsi="宋体" w:cs="宋体"/>
          <w:color w:val="000000"/>
          <w:sz w:val="21"/>
          <w:szCs w:val="21"/>
        </w:rPr>
      </w:pPr>
      <w:r>
        <w:rPr>
          <w:rFonts w:ascii="宋体" w:hAnsi="宋体" w:cs="宋体"/>
        </w:rPr>
      </w:r>
      <w:bookmarkEnd w:id="28"/>
      <w:r>
        <w:rPr>
          <w:rFonts w:hint="eastAsia" w:ascii="宋体" w:hAnsi="宋体" w:eastAsia="宋体" w:cs="宋体"/>
          <w:color w:val="000000"/>
          <w:sz w:val="21"/>
          <w:szCs w:val="21"/>
        </w:rPr>
        <w:t xml:space="preserve">2.本项目获取采购文件截止日期之后仍可以下载采购文件，但截止日期之后下载的采购文件，视为非有效方式且不作为供应商权益受到损害的证明材料和依据。</w:t>
      </w:r>
      <w:r>
        <w:rPr>
          <w:rFonts w:ascii="宋体" w:hAnsi="宋体" w:cs="宋体"/>
        </w:rPr>
      </w:r>
      <w:r/>
    </w:p>
    <w:p>
      <w:pPr>
        <w:pStyle w:val="859"/>
        <w:ind w:firstLine="420"/>
        <w:jc w:val="left"/>
        <w:spacing w:line="460" w:lineRule="exact"/>
        <w:rPr>
          <w:rFonts w:hint="eastAsia" w:ascii="宋体" w:hAnsi="宋体" w:cs="宋体"/>
          <w:color w:val="000000"/>
          <w:sz w:val="21"/>
          <w:szCs w:val="21"/>
        </w:rPr>
      </w:pPr>
      <w:r>
        <w:rPr>
          <w:rFonts w:ascii="宋体" w:hAnsi="宋体" w:cs="宋体"/>
        </w:rPr>
      </w:r>
      <w:bookmarkStart w:id="29" w:name="_Toc28359018"/>
      <w:r>
        <w:rPr>
          <w:rFonts w:ascii="宋体" w:hAnsi="宋体" w:cs="宋体"/>
        </w:rPr>
      </w:r>
      <w:bookmarkStart w:id="30" w:name="_Toc35393636"/>
      <w:r>
        <w:rPr>
          <w:rFonts w:ascii="宋体" w:hAnsi="宋体" w:cs="宋体"/>
        </w:rPr>
      </w:r>
      <w:bookmarkStart w:id="31" w:name="_Toc35393805"/>
      <w:r>
        <w:rPr>
          <w:rFonts w:ascii="宋体" w:hAnsi="宋体" w:cs="宋体"/>
        </w:rPr>
      </w:r>
      <w:bookmarkStart w:id="32" w:name="_Toc28359095"/>
      <w:r>
        <w:rPr>
          <w:rFonts w:hint="eastAsia" w:ascii="宋体" w:hAnsi="宋体" w:eastAsia="宋体" w:cs="宋体"/>
          <w:color w:val="000000"/>
          <w:sz w:val="21"/>
          <w:szCs w:val="21"/>
        </w:rPr>
        <w:t xml:space="preserve">3.苏州吴江区政府采购办公室监督电话：0512-63982393。</w:t>
      </w:r>
      <w:r>
        <w:rPr>
          <w:rFonts w:ascii="宋体" w:hAnsi="宋体" w:cs="宋体"/>
        </w:rPr>
      </w:r>
      <w:r/>
    </w:p>
    <w:p>
      <w:pPr>
        <w:pStyle w:val="859"/>
        <w:ind w:firstLine="420"/>
        <w:jc w:val="left"/>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4.根据苏州市财政局《关于深入开展苏州市政府采购合同信用融资业务的通知》相关要求，本项目支持政府采购合同信用融资。</w:t>
      </w:r>
      <w:r>
        <w:rPr>
          <w:rFonts w:ascii="宋体" w:hAnsi="宋体" w:cs="宋体"/>
        </w:rPr>
      </w:r>
      <w:r/>
    </w:p>
    <w:p>
      <w:pPr>
        <w:pStyle w:val="859"/>
        <w:ind w:firstLine="420"/>
        <w:jc w:val="left"/>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5.本次采购的相关信息刊登在江苏政府采购网、苏州政府采购网。</w:t>
      </w:r>
      <w:r>
        <w:rPr>
          <w:rFonts w:ascii="宋体" w:hAnsi="宋体" w:cs="宋体"/>
        </w:rPr>
      </w:r>
      <w:r/>
    </w:p>
    <w:p>
      <w:pPr>
        <w:pStyle w:val="859"/>
        <w:ind w:firstLine="420"/>
        <w:jc w:val="left"/>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6.现场踏勘：为更好地了解现场情况，各投标供应商可自行至现场进行踏勘，熟悉实际情况，以获得一切可能影响其投标的直接资料，未踏勘现场的供应商中标后，不得以不完全了解现场情况为理由而向招标采购单位提出任何索赔或加价的要求，对此招标采购单位不承担任何责任并将不作任何答复与考虑。现场踏勘请提前联系。</w:t>
      </w:r>
      <w:r>
        <w:rPr>
          <w:rFonts w:ascii="宋体" w:hAnsi="宋体" w:cs="宋体"/>
        </w:rPr>
      </w:r>
      <w:r/>
    </w:p>
    <w:p>
      <w:pPr>
        <w:pStyle w:val="859"/>
        <w:ind w:firstLine="422"/>
        <w:jc w:val="left"/>
        <w:spacing w:line="46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七、凡对本次招标提出询问，请按以下方式联系</w:t>
      </w:r>
      <w:bookmarkEnd w:id="29"/>
      <w:r>
        <w:rPr>
          <w:rFonts w:ascii="宋体" w:hAnsi="宋体" w:cs="宋体"/>
        </w:rPr>
      </w:r>
      <w:bookmarkEnd w:id="30"/>
      <w:r>
        <w:rPr>
          <w:rFonts w:ascii="宋体" w:hAnsi="宋体" w:cs="宋体"/>
        </w:rPr>
      </w:r>
      <w:bookmarkEnd w:id="31"/>
      <w:r>
        <w:rPr>
          <w:rFonts w:ascii="宋体" w:hAnsi="宋体" w:cs="宋体"/>
        </w:rPr>
      </w:r>
      <w:bookmarkEnd w:id="32"/>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ascii="宋体" w:hAnsi="宋体" w:cs="宋体"/>
        </w:rPr>
      </w:r>
      <w:bookmarkStart w:id="33" w:name="_Toc35393617"/>
      <w:r>
        <w:rPr>
          <w:rFonts w:ascii="宋体" w:hAnsi="宋体" w:cs="宋体"/>
        </w:rPr>
      </w:r>
      <w:bookmarkStart w:id="34" w:name="_Toc35393786"/>
      <w:r>
        <w:rPr>
          <w:rFonts w:ascii="宋体" w:hAnsi="宋体" w:cs="宋体"/>
        </w:rPr>
      </w:r>
      <w:bookmarkStart w:id="35" w:name="_Toc28359075"/>
      <w:r>
        <w:rPr>
          <w:rFonts w:ascii="宋体" w:hAnsi="宋体" w:cs="宋体"/>
        </w:rPr>
      </w:r>
      <w:bookmarkStart w:id="36" w:name="_Toc28358998"/>
      <w:r>
        <w:rPr>
          <w:rFonts w:hint="eastAsia" w:ascii="宋体" w:hAnsi="宋体" w:eastAsia="宋体" w:cs="宋体"/>
          <w:color w:val="000000"/>
          <w:sz w:val="21"/>
          <w:szCs w:val="21"/>
        </w:rPr>
        <w:t xml:space="preserve">1.采购人信息</w:t>
      </w:r>
      <w:bookmarkEnd w:id="33"/>
      <w:r>
        <w:rPr>
          <w:rFonts w:ascii="宋体" w:hAnsi="宋体" w:cs="宋体"/>
        </w:rPr>
      </w:r>
      <w:bookmarkEnd w:id="34"/>
      <w:r>
        <w:rPr>
          <w:rFonts w:ascii="宋体" w:hAnsi="宋体" w:cs="宋体"/>
        </w:rPr>
      </w:r>
      <w:bookmarkEnd w:id="35"/>
      <w:r>
        <w:rPr>
          <w:rFonts w:ascii="宋体" w:hAnsi="宋体" w:cs="宋体"/>
        </w:rPr>
      </w:r>
      <w:bookmarkEnd w:id="36"/>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名  称：</w:t>
      </w:r>
      <w:r>
        <w:rPr>
          <w:rFonts w:hint="eastAsia" w:ascii="宋体" w:hAnsi="宋体" w:eastAsia="宋体" w:cs="宋体"/>
          <w:color w:val="000000"/>
          <w:sz w:val="21"/>
          <w:szCs w:val="21"/>
        </w:rPr>
        <w:t xml:space="preserve">苏州市吴江区公路事业发展中心</w:t>
      </w:r>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地 </w:t>
      </w:r>
      <w:r>
        <w:rPr>
          <w:rFonts w:hint="eastAsia" w:ascii="宋体" w:hAnsi="宋体" w:cs="宋体"/>
          <w:color w:val="000000"/>
          <w:sz w:val="21"/>
          <w:szCs w:val="21"/>
        </w:rPr>
        <w:t xml:space="preserve"> </w:t>
      </w:r>
      <w:r>
        <w:rPr>
          <w:rFonts w:hint="eastAsia" w:ascii="宋体" w:hAnsi="宋体" w:eastAsia="宋体" w:cs="宋体"/>
          <w:color w:val="000000"/>
          <w:sz w:val="21"/>
          <w:szCs w:val="21"/>
          <w:lang w:val="zh-CN"/>
        </w:rPr>
        <w:t xml:space="preserve">址：</w:t>
      </w:r>
      <w:r>
        <w:rPr>
          <w:rFonts w:hint="eastAsia" w:ascii="宋体" w:hAnsi="宋体" w:eastAsia="宋体" w:cs="宋体"/>
          <w:color w:val="000000"/>
          <w:sz w:val="21"/>
          <w:szCs w:val="21"/>
        </w:rPr>
        <w:t xml:space="preserve">苏州市吴江区云梨路1917号</w:t>
      </w:r>
      <w:bookmarkStart w:id="37" w:name="_Toc28359000"/>
      <w:r>
        <w:rPr>
          <w:rFonts w:ascii="宋体" w:hAnsi="宋体" w:cs="宋体"/>
        </w:rPr>
      </w:r>
      <w:bookmarkStart w:id="38" w:name="_Toc35393619"/>
      <w:r>
        <w:rPr>
          <w:rFonts w:ascii="宋体" w:hAnsi="宋体" w:cs="宋体"/>
        </w:rPr>
      </w:r>
      <w:bookmarkStart w:id="39" w:name="_Toc35393788"/>
      <w:r>
        <w:rPr>
          <w:rFonts w:ascii="宋体" w:hAnsi="宋体" w:cs="宋体"/>
        </w:rPr>
      </w:r>
      <w:bookmarkStart w:id="40" w:name="_Toc28359077"/>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联系人：蒯乐、颜誉           </w:t>
      </w:r>
      <w:r>
        <w:rPr>
          <w:rFonts w:ascii="宋体" w:hAnsi="宋体" w:cs="宋体"/>
        </w:rPr>
      </w:r>
      <w:r/>
    </w:p>
    <w:p>
      <w:pPr>
        <w:pStyle w:val="859"/>
        <w:ind w:firstLine="420"/>
        <w:jc w:val="left"/>
        <w:spacing w:line="460" w:lineRule="exact"/>
        <w:widowControl/>
        <w:rPr>
          <w:rFonts w:ascii="宋体" w:hAnsi="宋体" w:cs="宋体"/>
          <w:color w:val="000000"/>
          <w:sz w:val="21"/>
          <w:szCs w:val="21"/>
        </w:rPr>
      </w:pPr>
      <w:r>
        <w:rPr>
          <w:rFonts w:hint="eastAsia" w:ascii="宋体" w:hAnsi="宋体" w:eastAsia="宋体" w:cs="宋体"/>
          <w:color w:val="000000"/>
          <w:sz w:val="21"/>
          <w:szCs w:val="21"/>
        </w:rPr>
        <w:t xml:space="preserve">联系电话：0512-63028287</w:t>
      </w:r>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2.代理机构联系方式</w:t>
      </w:r>
      <w:bookmarkEnd w:id="37"/>
      <w:r>
        <w:rPr>
          <w:rFonts w:ascii="宋体" w:hAnsi="宋体" w:cs="宋体"/>
        </w:rPr>
      </w:r>
      <w:bookmarkEnd w:id="38"/>
      <w:r>
        <w:rPr>
          <w:rFonts w:ascii="宋体" w:hAnsi="宋体" w:cs="宋体"/>
        </w:rPr>
      </w:r>
      <w:bookmarkEnd w:id="39"/>
      <w:r>
        <w:rPr>
          <w:rFonts w:ascii="宋体" w:hAnsi="宋体" w:cs="宋体"/>
        </w:rPr>
      </w:r>
      <w:bookmarkEnd w:id="40"/>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名  称</w:t>
      </w:r>
      <w:bookmarkStart w:id="41" w:name="XTDLJG_2"/>
      <w:r>
        <w:rPr>
          <w:rFonts w:hint="eastAsia" w:ascii="宋体" w:hAnsi="宋体" w:eastAsia="宋体" w:cs="宋体"/>
          <w:color w:val="000000"/>
          <w:sz w:val="21"/>
          <w:szCs w:val="21"/>
        </w:rPr>
        <w:t xml:space="preserve">：</w:t>
      </w:r>
      <w:bookmarkEnd w:id="41"/>
      <w:r>
        <w:rPr>
          <w:rFonts w:hint="eastAsia" w:ascii="宋体" w:hAnsi="宋体" w:eastAsia="宋体" w:cs="宋体"/>
          <w:color w:val="000000"/>
          <w:sz w:val="21"/>
          <w:szCs w:val="21"/>
        </w:rPr>
        <w:t xml:space="preserve">苏州欣禾诚工程咨询服务有限公司</w:t>
      </w:r>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地  址：苏州市吴江区鲈乡南路2485号明珠大厦北楼1702A</w:t>
      </w:r>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联系人：朱思薇、吴清芬</w:t>
      </w:r>
      <w:r>
        <w:rPr>
          <w:rFonts w:ascii="宋体" w:hAnsi="宋体" w:cs="宋体"/>
        </w:rPr>
      </w:r>
      <w:r/>
    </w:p>
    <w:p>
      <w:pPr>
        <w:pStyle w:val="859"/>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电　话：0512-63659266　　　　　　　　                       </w:t>
      </w:r>
      <w:r>
        <w:rPr>
          <w:rFonts w:ascii="宋体" w:hAnsi="宋体" w:cs="宋体"/>
        </w:rPr>
      </w:r>
      <w:r/>
    </w:p>
    <w:p>
      <w:pPr>
        <w:pStyle w:val="859"/>
        <w:ind w:firstLine="420"/>
        <w:jc w:val="right"/>
        <w:spacing w:line="420" w:lineRule="exact"/>
        <w:widowControl/>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59"/>
        <w:ind w:firstLine="420"/>
        <w:jc w:val="right"/>
        <w:spacing w:line="420" w:lineRule="exact"/>
        <w:widowControl/>
        <w:rPr>
          <w:rFonts w:hint="eastAsia" w:ascii="宋体" w:hAnsi="宋体" w:cs="宋体"/>
          <w:b/>
          <w:bCs/>
          <w:color w:val="000000"/>
          <w:sz w:val="44"/>
          <w:szCs w:val="44"/>
        </w:rPr>
      </w:pPr>
      <w:r>
        <w:rPr>
          <w:rFonts w:hint="eastAsia" w:ascii="宋体" w:hAnsi="宋体" w:cs="宋体"/>
          <w:color w:val="000000"/>
          <w:sz w:val="21"/>
          <w:szCs w:val="21"/>
        </w:rPr>
        <w:t xml:space="preserve">  </w:t>
      </w:r>
      <w:bookmarkStart w:id="42" w:name="_Toc414602014"/>
      <w:r>
        <w:rPr>
          <w:rFonts w:ascii="宋体" w:hAnsi="宋体" w:cs="宋体"/>
        </w:rPr>
      </w:r>
      <w:r/>
    </w:p>
    <w:p>
      <w:pPr>
        <w:pStyle w:val="859"/>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59"/>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59"/>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59"/>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59"/>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59"/>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59"/>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59"/>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59"/>
        <w:jc w:val="center"/>
        <w:rPr>
          <w:rFonts w:ascii="宋体" w:hAnsi="宋体" w:cs="宋体"/>
          <w:b/>
          <w:bCs/>
          <w:color w:val="000000"/>
          <w:sz w:val="44"/>
          <w:szCs w:val="44"/>
        </w:rPr>
      </w:pPr>
      <w:r>
        <w:rPr>
          <w:rFonts w:hint="eastAsia" w:ascii="宋体" w:hAnsi="宋体" w:eastAsia="宋体" w:cs="宋体"/>
          <w:b/>
          <w:bCs/>
          <w:color w:val="000000"/>
          <w:sz w:val="44"/>
          <w:szCs w:val="44"/>
        </w:rPr>
        <w:t xml:space="preserve">第二章</w:t>
      </w:r>
      <w:r>
        <w:rPr>
          <w:rFonts w:ascii="宋体" w:hAnsi="宋体" w:cs="宋体"/>
          <w:b/>
          <w:bCs/>
          <w:color w:val="000000"/>
          <w:sz w:val="44"/>
          <w:szCs w:val="44"/>
        </w:rPr>
        <w:t xml:space="preserve">  </w:t>
      </w:r>
      <w:r>
        <w:rPr>
          <w:rFonts w:hint="eastAsia" w:ascii="宋体" w:hAnsi="宋体" w:eastAsia="宋体" w:cs="宋体"/>
          <w:b/>
          <w:bCs/>
          <w:color w:val="000000"/>
          <w:sz w:val="44"/>
          <w:szCs w:val="44"/>
        </w:rPr>
        <w:t xml:space="preserve">投标人须知</w:t>
      </w:r>
      <w:r>
        <w:rPr>
          <w:rFonts w:ascii="宋体" w:hAnsi="宋体" w:cs="宋体"/>
        </w:rPr>
      </w:r>
      <w:r/>
    </w:p>
    <w:p>
      <w:pPr>
        <w:pStyle w:val="859"/>
        <w:numPr>
          <w:ilvl w:val="0"/>
          <w:numId w:val="3"/>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说明和释义</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说明</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本招标文件仅适用于苏州欣禾诚工程咨询服务有限公司组织的招标活动。</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本次招标活动及因本次招标产生的合同受中国法律制约和保护。</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本招标文件的解释权属于苏州欣禾诚工程咨询服务有限公司。</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词语释义</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招标代理机构：具体组织实施招标活动的法人。</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采购人</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lang w:val="zh-CN"/>
        </w:rPr>
        <w:t xml:space="preserve">单位）</w:t>
      </w:r>
      <w:r>
        <w:rPr>
          <w:rFonts w:hint="eastAsia" w:ascii="宋体" w:hAnsi="宋体" w:eastAsia="宋体" w:cs="宋体"/>
          <w:color w:val="000000"/>
          <w:sz w:val="21"/>
          <w:szCs w:val="21"/>
        </w:rPr>
        <w:t xml:space="preserve">：指依法进行政府采购的国家机关、事业单位、团体组织。</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投标人（投标单位）：经认定有资格响应招标，参加投标竞争的法人或其他组织和自然人。</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响应：投标人根据招标代理机构或招标代理机构发布的招标文件，编制投标文件并按规定投标的行为。</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合同：采供双方根据招标文件和中标的投标文件及中标通知书规定的内容签署的以书面形式所达成的协议，包括所有的附件、附录和构成协议的所有文件。</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甲方（委托方）：合同中明确规定的实际购买货物和服务的法人或其他组织和自然人。</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乙方（服务方）：合同中规定的向采购单位提供货物和服务的法人或其他组织和自然人。</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评标委员会：是指在招标投标和政府采购活动中，依法由采购人代表和有关技术、经济等方面的专家组建，负责对投标文件进行评审并提出评审意见的临时性权威机构。</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货物：系指乙方按招标文件规定，应向甲方提供的一切设备、备品、备件、工具、手册及其它有关技术资料和材料。</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服务：系指本次招标采购文件规定乙方应承担的与提供货物和服务有关的辅助服务，比如运输、保险、安装、调试、提供技术援助、培训、配合措施、维修响应及合同中规定乙方应承担的其他义务。</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知识产权：指专利权、商标权、著作权等无形财产专有权的统称。</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天：日历日。</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交货地点：合同中明确约定的乙方提交的货物和服务最终交付地点。</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服务地点：合同中明确约定的乙方履行服务的最终地点。</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合同价款：根据合同规定，乙方在正确地履行合同义务后甲方应支付乙方的价款。</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产地：货物开采、生长、生产、最终制造、加工或提供服务的来源地。</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不可抗力：不能预见、不能避免并且不能克服的客观情况。</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实质性响应：满足有关本次采购标的、数量、质量、价款或者报酬、履行期限、履行地点和方式、违约责任和解决争议方法等要求。</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进口产品：指通过中国海关报关验收进入中国境内且产自境外的产品，具体按照苏财购〔2008〕14号江苏省财政厅转发财政部办公厅关于政府采购进口产品管理有关问题的通知的规定。</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书面形式：指书面文字、合同书、信件和数据电文（包括电报、电传、传真、电子数据交换和电子邮件）等可以有形地表现所载内容的形式。</w:t>
      </w:r>
      <w:r>
        <w:rPr>
          <w:rFonts w:ascii="宋体" w:hAnsi="宋体" w:cs="宋体"/>
        </w:rPr>
      </w:r>
      <w:r/>
    </w:p>
    <w:p>
      <w:pPr>
        <w:pStyle w:val="859"/>
        <w:numPr>
          <w:ilvl w:val="0"/>
          <w:numId w:val="3"/>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投标人</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合格投标人的范围</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符合《中华人民共和国政府采购法》第二十二条第一款之规定。</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合格投标人的特定条件</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见投标邀请函</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投标委托</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指全权代表投标人参加投标活动并签署投标文件的人，如果投标人代表不是法定代表人，须持有《法定代表人代表授权委托书》（详见统一格式）。</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投标费用</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无论投标过程的做法和结果如何，投标人自行承担所有与参加投标有关的全部费用。</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联合投标</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本项目不接受联合投标。</w:t>
      </w:r>
      <w:r>
        <w:rPr>
          <w:rFonts w:ascii="宋体" w:hAnsi="宋体" w:cs="宋体"/>
        </w:rPr>
      </w:r>
      <w:r/>
    </w:p>
    <w:p>
      <w:pPr>
        <w:pStyle w:val="859"/>
        <w:numPr>
          <w:ilvl w:val="0"/>
          <w:numId w:val="3"/>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招标文件的说明</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招标文件</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招标文件由招标文件目录所列内容组成，投标人下载招标文件后，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招标文件及其补充通知（包括更正公告）不是直接从财政部门指定的政府采购信息发布媒体上下载获得的，招标采购单位对招标文件及其补遗的真实性、完整性不承担任何责任。</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现场考察</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投标人自行对有关现场和周围环境进行考察，以获取编制投标文件和签署合同所需的信息。考察现场所发生的费用由投标人自己承担。</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经招标采购单位允许，投标人可为考察目的进入招标采购单位的项目现场，但投标人不得因此使招标采购单位承担有关的责任和蒙受损失。投标人应承担考察现场的责任和风险。</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招标文件的澄清和修改</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采购人无论出于自己的考虑，还是出于对投标人提问的澄清，均可对招标文件用更正公告的方式进行澄清或者修改，并通过中国政府采购网、江苏政府采购网、苏州市政府采购网对外进行发布。</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对于补充通知（包括更正公告），报名成功的供应商通过“苏州市政府采购网”的“采购公告”自行查看所报项目的补充通知（包括更正公告）或通过“江苏政府采购网”的“采购公告”自行查看所报项目的补充通知（包括更正公告）。补充通知（包括更正公告）将作为招标文件的组成部分，对所有投标人有约束力。</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为使投标人有足够的时间按招标文件的修改要求考虑修正投标文件，或出于其他原因，招标采购单位有权推迟投标截止日期和开标日期，并将此变更通知以更正公告的形式对外发布。</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招标文件的更正（含澄清、修改等）内容与原招标文件在同一内容上表述不一致时，以发出日期最接近开标时间的公告为准。</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投标答疑</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投标人在获取招标文件后，若对招标文件有疑问，可与代理机构或采购单位联系。</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勘察现场</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本项目因运行环境和安装设备的要求，投标单位根据自身投标需要，可对有关现场和周围环境进行勘察，以获取编制投标文件和签署合同所需的信息。勘察现场所发生的费用由投标人自己承担。</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经招标采购单位允许，投标人可为勘察目的进入招标采购单位的项目现场，但投标人不得因此使招标采购单位承担有关的责任和蒙受损失。投标人应承担勘察现场的责任和风险。</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rPr>
          <w:rFonts w:ascii="宋体" w:hAnsi="宋体" w:cs="宋体"/>
        </w:rPr>
      </w:r>
      <w:r/>
    </w:p>
    <w:p>
      <w:pPr>
        <w:pStyle w:val="859"/>
        <w:numPr>
          <w:ilvl w:val="0"/>
          <w:numId w:val="3"/>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投标文件说明</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投标文件计量单位和使用文字</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投标文件中所使用的计量单位，除招标文件中有特殊要求外，均应使用中华人民共和国法定计量单位。</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知识产权</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color w:val="000000"/>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投标文件的组成</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投标文件</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封面</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开标一览表</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公开分项报价</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资格审查文件</w:t>
      </w:r>
      <w:r>
        <w:rPr>
          <w:rFonts w:ascii="宋体" w:hAnsi="宋体" w:cs="宋体"/>
        </w:rPr>
      </w:r>
      <w:r/>
    </w:p>
    <w:p>
      <w:pPr>
        <w:pStyle w:val="877"/>
        <w:ind w:firstLine="567"/>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15.1.4.1合格投标人资格证明材料：</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（1）具有独立承担民事责任的能力；</w:t>
      </w:r>
      <w:r>
        <w:rPr>
          <w:rFonts w:hint="eastAsia" w:ascii="宋体" w:hAnsi="宋体" w:eastAsia="宋体" w:cs="宋体"/>
          <w:color w:val="000000"/>
          <w:sz w:val="21"/>
          <w:szCs w:val="21"/>
          <w:lang w:val="zh-CN"/>
        </w:rPr>
        <w:t xml:space="preserve">提供包括法人或者其他组织的营业执照等证明文件，自然人的身份证明</w:t>
      </w:r>
      <w:r>
        <w:rPr>
          <w:rFonts w:hint="eastAsia" w:ascii="宋体" w:hAnsi="宋体" w:eastAsia="宋体" w:cs="宋体"/>
          <w:color w:val="000000"/>
          <w:sz w:val="21"/>
          <w:szCs w:val="21"/>
        </w:rPr>
        <w:t xml:space="preserve">； </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（2）具有良好的商业信誉和健全的财务会计制度；</w:t>
      </w:r>
      <w:r>
        <w:rPr>
          <w:rFonts w:hint="eastAsia" w:ascii="宋体" w:hAnsi="宋体" w:eastAsia="宋体" w:cs="宋体"/>
          <w:color w:val="000000"/>
          <w:sz w:val="21"/>
          <w:szCs w:val="21"/>
          <w:lang w:val="zh-CN"/>
        </w:rPr>
        <w:t xml:space="preserve">提供包括但不限于最近一期（202</w:t>
      </w:r>
      <w:r>
        <w:rPr>
          <w:rFonts w:hint="eastAsia" w:ascii="宋体" w:hAnsi="宋体" w:cs="宋体"/>
          <w:color w:val="000000"/>
          <w:sz w:val="21"/>
          <w:szCs w:val="21"/>
        </w:rPr>
        <w:t xml:space="preserve">3</w:t>
      </w:r>
      <w:r>
        <w:rPr>
          <w:rFonts w:hint="eastAsia" w:ascii="宋体" w:hAnsi="宋体" w:eastAsia="宋体" w:cs="宋体"/>
          <w:color w:val="000000"/>
          <w:sz w:val="21"/>
          <w:szCs w:val="21"/>
          <w:lang w:val="zh-CN"/>
        </w:rPr>
        <w:t xml:space="preserve">年度或202</w:t>
      </w:r>
      <w:r>
        <w:rPr>
          <w:rFonts w:hint="eastAsia" w:ascii="宋体" w:hAnsi="宋体" w:cs="宋体"/>
          <w:color w:val="000000"/>
          <w:sz w:val="21"/>
          <w:szCs w:val="21"/>
        </w:rPr>
        <w:t xml:space="preserve">4</w:t>
      </w:r>
      <w:r>
        <w:rPr>
          <w:rFonts w:hint="eastAsia" w:ascii="宋体" w:hAnsi="宋体" w:eastAsia="宋体" w:cs="宋体"/>
          <w:color w:val="000000"/>
          <w:sz w:val="21"/>
          <w:szCs w:val="21"/>
          <w:lang w:val="zh-CN"/>
        </w:rPr>
        <w:t xml:space="preserve">年度）经审计的财务报告或最近一期财务报表</w:t>
      </w:r>
      <w:r>
        <w:rPr>
          <w:rFonts w:hint="eastAsia" w:ascii="宋体" w:hAnsi="宋体" w:eastAsia="宋体" w:cs="宋体"/>
          <w:color w:val="000000"/>
          <w:sz w:val="21"/>
          <w:szCs w:val="21"/>
        </w:rPr>
        <w:t xml:space="preserve">（资产负债表、利润表）</w:t>
      </w:r>
      <w:r>
        <w:rPr>
          <w:rFonts w:hint="eastAsia" w:ascii="宋体" w:hAnsi="宋体" w:eastAsia="宋体" w:cs="宋体"/>
          <w:color w:val="000000"/>
          <w:sz w:val="21"/>
          <w:szCs w:val="21"/>
          <w:lang w:val="zh-CN"/>
        </w:rPr>
        <w:t xml:space="preserve">，其他组织、自然人及成立未满一年的法人应提供银行出具的资信证明；  </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（3）具有履行合同所必需的设备和专业技术能力</w:t>
      </w:r>
      <w:r>
        <w:rPr>
          <w:rFonts w:hint="eastAsia" w:ascii="宋体" w:hAnsi="宋体" w:eastAsia="宋体" w:cs="宋体"/>
          <w:color w:val="000000"/>
          <w:sz w:val="21"/>
          <w:szCs w:val="21"/>
          <w:lang w:val="zh-CN"/>
        </w:rPr>
        <w:t xml:space="preserve">；提供证明材料或书面承诺书</w:t>
      </w:r>
      <w:r>
        <w:rPr>
          <w:rFonts w:hint="eastAsia" w:ascii="宋体" w:hAnsi="宋体" w:eastAsia="宋体" w:cs="宋体"/>
          <w:color w:val="000000"/>
          <w:sz w:val="21"/>
          <w:szCs w:val="21"/>
        </w:rPr>
        <w:t xml:space="preserve">； </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（4）依法缴纳税收和社会保障资金的良好记录；</w:t>
      </w:r>
      <w:r>
        <w:rPr>
          <w:rFonts w:hint="eastAsia" w:ascii="宋体" w:hAnsi="宋体" w:eastAsia="宋体" w:cs="宋体"/>
          <w:color w:val="000000"/>
          <w:sz w:val="21"/>
          <w:szCs w:val="21"/>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 </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（5）参加政府采购活动前三年内，在经营活动中没有重大违法记录；</w:t>
      </w:r>
      <w:r>
        <w:rPr>
          <w:rFonts w:hint="eastAsia" w:ascii="宋体" w:hAnsi="宋体" w:eastAsia="宋体" w:cs="宋体"/>
          <w:color w:val="000000"/>
          <w:sz w:val="21"/>
          <w:szCs w:val="21"/>
          <w:lang w:val="zh-CN"/>
        </w:rPr>
        <w:t xml:space="preserve">提供书面声明函</w:t>
      </w:r>
      <w:r>
        <w:rPr>
          <w:rFonts w:hint="eastAsia" w:ascii="宋体" w:hAnsi="宋体" w:eastAsia="宋体" w:cs="宋体"/>
          <w:color w:val="000000"/>
          <w:sz w:val="21"/>
          <w:szCs w:val="21"/>
        </w:rPr>
        <w:t xml:space="preserve">。</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15.1.4.2其它有关资格证明文件（包括但不限于投标邀请函中其他特定资格要求的证明文件，如有要求须提供）</w:t>
      </w:r>
      <w:r>
        <w:rPr>
          <w:rFonts w:hint="eastAsia" w:ascii="宋体" w:hAnsi="宋体" w:eastAsia="宋体" w:cs="宋体"/>
          <w:color w:val="000000"/>
          <w:sz w:val="21"/>
          <w:szCs w:val="21"/>
          <w:lang w:val="zh-CN"/>
        </w:rPr>
        <w:t xml:space="preserve">；</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符合性审查文件</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cs="宋体"/>
          <w:color w:val="000000"/>
          <w:sz w:val="21"/>
          <w:szCs w:val="21"/>
        </w:rPr>
        <w:t xml:space="preserve">15.1.5.1</w:t>
      </w:r>
      <w:r>
        <w:rPr>
          <w:rFonts w:hint="eastAsia" w:ascii="宋体" w:hAnsi="宋体" w:eastAsia="宋体" w:cs="宋体"/>
          <w:color w:val="000000"/>
          <w:sz w:val="21"/>
          <w:szCs w:val="21"/>
          <w:lang w:val="zh-CN"/>
        </w:rPr>
        <w:t xml:space="preserve">投标函；</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15.1.5.2</w:t>
      </w:r>
      <w:r>
        <w:rPr>
          <w:rFonts w:hint="eastAsia" w:ascii="宋体" w:hAnsi="宋体" w:eastAsia="宋体" w:cs="宋体"/>
          <w:color w:val="000000"/>
          <w:sz w:val="21"/>
          <w:szCs w:val="21"/>
        </w:rPr>
        <w:t xml:space="preserve">服务</w:t>
      </w:r>
      <w:r>
        <w:rPr>
          <w:rFonts w:hint="eastAsia" w:ascii="宋体" w:hAnsi="宋体" w:eastAsia="宋体" w:cs="宋体"/>
          <w:color w:val="000000"/>
          <w:sz w:val="21"/>
          <w:szCs w:val="21"/>
        </w:rPr>
        <w:t xml:space="preserve">及</w:t>
      </w:r>
      <w:r>
        <w:rPr>
          <w:rFonts w:hint="eastAsia" w:ascii="宋体" w:hAnsi="宋体" w:eastAsia="宋体" w:cs="宋体"/>
          <w:color w:val="000000"/>
          <w:sz w:val="21"/>
          <w:szCs w:val="21"/>
        </w:rPr>
        <w:t xml:space="preserve">技术条款偏离表；</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15.1.5.3商务条款偏离表；</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15.1.5.4关于资格文件的声明函；</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15.1.5.5投标人法定代表人身份证复印件；</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15.1.5.6法定代表人授权委托书（如有授权，格式见第三章）；</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15.1.5.6投标人授权代理人身份证复印件（如有授权）；</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cs="宋体"/>
          <w:color w:val="000000"/>
          <w:sz w:val="21"/>
          <w:szCs w:val="21"/>
        </w:rPr>
        <w:t xml:space="preserve">15.1.5.7</w:t>
      </w:r>
      <w:r>
        <w:rPr>
          <w:rFonts w:hint="eastAsia" w:ascii="宋体" w:hAnsi="宋体" w:eastAsia="宋体" w:cs="宋体"/>
          <w:color w:val="000000"/>
          <w:sz w:val="21"/>
          <w:szCs w:val="21"/>
          <w:lang w:val="zh-CN"/>
        </w:rPr>
        <w:t xml:space="preserve">投标（响应）保证承诺书；</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15.1.5.8其他有关符合性证明的文件；</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cs="宋体"/>
          <w:color w:val="000000"/>
          <w:sz w:val="21"/>
          <w:szCs w:val="21"/>
        </w:rPr>
        <w:t xml:space="preserve">15.1.5.9</w:t>
      </w:r>
      <w:r>
        <w:rPr>
          <w:rFonts w:hint="eastAsia" w:ascii="宋体" w:hAnsi="宋体" w:eastAsia="宋体" w:cs="宋体"/>
          <w:color w:val="000000"/>
          <w:sz w:val="21"/>
          <w:szCs w:val="21"/>
          <w:lang w:val="zh-CN"/>
        </w:rPr>
        <w:t xml:space="preserve">投标单位情况表；</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综合评审文件（具体模块以系统生成为准）</w:t>
      </w:r>
      <w:r>
        <w:rPr>
          <w:rFonts w:ascii="宋体" w:hAnsi="宋体" w:cs="宋体"/>
        </w:rPr>
      </w:r>
      <w:r/>
    </w:p>
    <w:p>
      <w:pPr>
        <w:pStyle w:val="877"/>
        <w:ind w:firstLine="567"/>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15.1.6.1针对本项目服务实施工作方案；</w:t>
      </w:r>
      <w:r>
        <w:rPr>
          <w:rFonts w:ascii="宋体" w:hAnsi="宋体" w:cs="宋体"/>
        </w:rPr>
      </w:r>
      <w:r/>
    </w:p>
    <w:p>
      <w:pPr>
        <w:pStyle w:val="877"/>
        <w:ind w:firstLine="567"/>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15.1.6.2针对本项目的人员及设备配置；</w:t>
      </w:r>
      <w:r>
        <w:rPr>
          <w:rFonts w:ascii="宋体" w:hAnsi="宋体" w:cs="宋体"/>
        </w:rPr>
      </w:r>
      <w:r/>
    </w:p>
    <w:p>
      <w:pPr>
        <w:pStyle w:val="877"/>
        <w:ind w:firstLine="567"/>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15.1.6.3类似业绩一览表；</w:t>
      </w:r>
      <w:r>
        <w:rPr>
          <w:rFonts w:ascii="宋体" w:hAnsi="宋体" w:cs="宋体"/>
        </w:rPr>
      </w:r>
      <w:r/>
    </w:p>
    <w:p>
      <w:pPr>
        <w:pStyle w:val="877"/>
        <w:ind w:firstLine="567"/>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15.1.6.4评分标准中要求的其他相关资料；</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价格折扣文件格式</w:t>
      </w:r>
      <w:r>
        <w:rPr>
          <w:rFonts w:hint="eastAsia" w:ascii="宋体" w:hAnsi="宋体" w:eastAsia="宋体" w:cs="宋体"/>
          <w:b/>
          <w:color w:val="000000"/>
          <w:sz w:val="21"/>
          <w:szCs w:val="21"/>
        </w:rPr>
        <w:t xml:space="preserve">（本项目专门面向中小企业采购，不涉及价格折扣）</w:t>
      </w:r>
      <w:r>
        <w:rPr>
          <w:rFonts w:ascii="宋体" w:hAnsi="宋体" w:cs="宋体"/>
        </w:rPr>
      </w:r>
      <w:r/>
    </w:p>
    <w:p>
      <w:pPr>
        <w:pStyle w:val="892"/>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注：（1）以上1</w:t>
      </w:r>
      <w:r>
        <w:rPr>
          <w:rFonts w:hint="eastAsia" w:ascii="宋体" w:hAnsi="宋体" w:cs="宋体"/>
          <w:b/>
          <w:bCs/>
          <w:color w:val="000000"/>
          <w:sz w:val="21"/>
          <w:szCs w:val="21"/>
        </w:rPr>
        <w:t xml:space="preserve">5</w:t>
      </w:r>
      <w:r>
        <w:rPr>
          <w:rFonts w:hint="eastAsia" w:ascii="宋体" w:hAnsi="宋体" w:cs="宋体"/>
          <w:b/>
          <w:bCs/>
          <w:color w:val="000000"/>
          <w:sz w:val="21"/>
          <w:szCs w:val="21"/>
          <w:lang w:val="zh-CN"/>
        </w:rPr>
        <w:t xml:space="preserve">.1.4.</w:t>
      </w:r>
      <w:r>
        <w:rPr>
          <w:rFonts w:hint="eastAsia" w:ascii="宋体" w:hAnsi="宋体" w:cs="宋体"/>
          <w:b/>
          <w:bCs/>
          <w:color w:val="000000"/>
          <w:sz w:val="21"/>
          <w:szCs w:val="21"/>
        </w:rPr>
        <w:t xml:space="preserve">1</w:t>
      </w:r>
      <w:r>
        <w:rPr>
          <w:rFonts w:hint="eastAsia" w:ascii="宋体" w:hAnsi="宋体" w:cs="宋体"/>
          <w:b/>
          <w:bCs/>
          <w:color w:val="000000"/>
          <w:sz w:val="21"/>
          <w:szCs w:val="21"/>
          <w:lang w:val="zh-CN"/>
        </w:rPr>
        <w:t xml:space="preserve">-1</w:t>
      </w:r>
      <w:r>
        <w:rPr>
          <w:rFonts w:hint="eastAsia" w:ascii="宋体" w:hAnsi="宋体" w:cs="宋体"/>
          <w:b/>
          <w:bCs/>
          <w:color w:val="000000"/>
          <w:sz w:val="21"/>
          <w:szCs w:val="21"/>
        </w:rPr>
        <w:t xml:space="preserve">5</w:t>
      </w:r>
      <w:r>
        <w:rPr>
          <w:rFonts w:hint="eastAsia" w:ascii="宋体" w:hAnsi="宋体" w:cs="宋体"/>
          <w:b/>
          <w:bCs/>
          <w:color w:val="000000"/>
          <w:sz w:val="21"/>
          <w:szCs w:val="21"/>
          <w:lang w:val="zh-CN"/>
        </w:rPr>
        <w:t xml:space="preserve">.1.4.</w:t>
      </w:r>
      <w:r>
        <w:rPr>
          <w:rFonts w:hint="eastAsia" w:ascii="宋体" w:hAnsi="宋体" w:cs="宋体"/>
          <w:b/>
          <w:bCs/>
          <w:color w:val="000000"/>
          <w:sz w:val="21"/>
          <w:szCs w:val="21"/>
        </w:rPr>
        <w:t xml:space="preserve">2</w:t>
      </w:r>
      <w:r>
        <w:rPr>
          <w:rFonts w:hint="eastAsia" w:ascii="宋体" w:hAnsi="宋体" w:eastAsia="宋体" w:cs="宋体"/>
          <w:b/>
          <w:bCs/>
          <w:color w:val="000000"/>
          <w:sz w:val="21"/>
          <w:szCs w:val="21"/>
          <w:lang w:val="zh-CN"/>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rPr>
      </w:r>
      <w:r/>
    </w:p>
    <w:p>
      <w:pPr>
        <w:pStyle w:val="892"/>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（2）以上</w:t>
      </w:r>
      <w:r>
        <w:rPr>
          <w:rFonts w:hint="eastAsia" w:ascii="宋体" w:hAnsi="宋体" w:cs="宋体"/>
          <w:b/>
          <w:bCs/>
          <w:color w:val="000000"/>
          <w:sz w:val="21"/>
          <w:szCs w:val="21"/>
        </w:rPr>
        <w:t xml:space="preserve">15.1.5.1</w:t>
      </w:r>
      <w:r>
        <w:rPr>
          <w:rFonts w:hint="eastAsia" w:ascii="宋体" w:hAnsi="宋体" w:cs="宋体"/>
          <w:b/>
          <w:bCs/>
          <w:color w:val="000000"/>
          <w:sz w:val="21"/>
          <w:szCs w:val="21"/>
          <w:lang w:val="zh-CN"/>
        </w:rPr>
        <w:t xml:space="preserve">-</w:t>
      </w:r>
      <w:r>
        <w:rPr>
          <w:rFonts w:hint="eastAsia" w:ascii="宋体" w:hAnsi="宋体" w:cs="宋体"/>
          <w:b/>
          <w:bCs/>
          <w:color w:val="000000"/>
          <w:sz w:val="21"/>
          <w:szCs w:val="21"/>
        </w:rPr>
        <w:t xml:space="preserve">15.1.5.8</w:t>
      </w:r>
      <w:r>
        <w:rPr>
          <w:rFonts w:hint="eastAsia" w:ascii="宋体" w:hAnsi="宋体" w:eastAsia="宋体" w:cs="宋体"/>
          <w:b/>
          <w:bCs/>
          <w:color w:val="000000"/>
          <w:sz w:val="21"/>
          <w:szCs w:val="21"/>
          <w:lang w:val="zh-CN"/>
        </w:rPr>
        <w:t xml:space="preserve">为符合性审查须提供的资料，投标人必须提供并加盖电子公章。否则，投标文件将被认定为未实质性响应。</w:t>
      </w:r>
      <w:r>
        <w:rPr>
          <w:rFonts w:ascii="宋体" w:hAnsi="宋体" w:cs="宋体"/>
        </w:rPr>
      </w:r>
      <w:r/>
    </w:p>
    <w:p>
      <w:pPr>
        <w:pStyle w:val="892"/>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（3）“</w:t>
      </w:r>
      <w:r>
        <w:rPr>
          <w:rFonts w:hint="eastAsia" w:ascii="宋体" w:hAnsi="宋体" w:cs="宋体"/>
          <w:b/>
          <w:bCs/>
          <w:color w:val="000000"/>
          <w:sz w:val="21"/>
          <w:szCs w:val="21"/>
        </w:rPr>
        <w:t xml:space="preserve">15.1.1</w:t>
      </w:r>
      <w:r>
        <w:rPr>
          <w:rFonts w:hint="eastAsia" w:ascii="宋体" w:hAnsi="宋体" w:eastAsia="宋体" w:cs="宋体"/>
          <w:b/>
          <w:bCs/>
          <w:color w:val="000000"/>
          <w:sz w:val="21"/>
          <w:szCs w:val="21"/>
          <w:lang w:val="zh-CN"/>
        </w:rPr>
        <w:t xml:space="preserve">、</w:t>
      </w:r>
      <w:r>
        <w:rPr>
          <w:rFonts w:hint="eastAsia" w:ascii="宋体" w:hAnsi="宋体" w:cs="宋体"/>
          <w:b/>
          <w:bCs/>
          <w:color w:val="000000"/>
          <w:sz w:val="21"/>
          <w:szCs w:val="21"/>
        </w:rPr>
        <w:t xml:space="preserve">15.1.4</w:t>
      </w:r>
      <w:r>
        <w:rPr>
          <w:rFonts w:hint="eastAsia" w:ascii="宋体" w:hAnsi="宋体" w:cs="宋体"/>
          <w:b/>
          <w:bCs/>
          <w:color w:val="000000"/>
          <w:sz w:val="21"/>
          <w:szCs w:val="21"/>
          <w:lang w:val="zh-CN"/>
        </w:rPr>
        <w:t xml:space="preserve">-</w:t>
      </w:r>
      <w:r>
        <w:rPr>
          <w:rFonts w:hint="eastAsia" w:ascii="宋体" w:hAnsi="宋体" w:cs="宋体"/>
          <w:b/>
          <w:bCs/>
          <w:color w:val="000000"/>
          <w:sz w:val="21"/>
          <w:szCs w:val="21"/>
        </w:rPr>
        <w:t xml:space="preserve">15.1.7</w:t>
      </w:r>
      <w:r>
        <w:rPr>
          <w:rFonts w:hint="eastAsia" w:ascii="宋体" w:hAnsi="宋体" w:eastAsia="宋体" w:cs="宋体"/>
          <w:b/>
          <w:bCs/>
          <w:color w:val="000000"/>
          <w:sz w:val="21"/>
          <w:szCs w:val="21"/>
          <w:lang w:val="zh-CN"/>
        </w:rPr>
        <w:t xml:space="preserve">”中不得出现投标总报价。投标人所提交的资料的完整与否，将直接影响投标人的评分。</w:t>
      </w:r>
      <w:r>
        <w:rPr>
          <w:rFonts w:ascii="宋体" w:hAnsi="宋体" w:cs="宋体"/>
        </w:rPr>
      </w:r>
      <w:r/>
    </w:p>
    <w:p>
      <w:pPr>
        <w:pStyle w:val="892"/>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（4）制作电子投标文件时必须与投标文件制作软件目录一一对应，将相关资料上传至相应模块。</w:t>
      </w:r>
      <w:r>
        <w:rPr>
          <w:rFonts w:ascii="宋体" w:hAnsi="宋体" w:cs="宋体"/>
        </w:rPr>
      </w:r>
      <w:r/>
    </w:p>
    <w:p>
      <w:pPr>
        <w:pStyle w:val="892"/>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w:t>
      </w:r>
      <w:r>
        <w:rPr>
          <w:rFonts w:hint="eastAsia" w:ascii="宋体" w:hAnsi="宋体" w:eastAsia="宋体" w:cs="宋体"/>
          <w:b/>
          <w:bCs/>
          <w:color w:val="000000"/>
          <w:sz w:val="21"/>
          <w:szCs w:val="21"/>
          <w:u w:val="single"/>
          <w:lang w:val="zh-CN"/>
        </w:rPr>
        <w:t xml:space="preserve">承担</w:t>
      </w:r>
      <w:r>
        <w:rPr>
          <w:rFonts w:hint="eastAsia" w:ascii="宋体" w:hAnsi="宋体" w:eastAsia="宋体" w:cs="宋体"/>
          <w:b/>
          <w:bCs/>
          <w:color w:val="000000"/>
          <w:sz w:val="21"/>
          <w:szCs w:val="21"/>
          <w:lang w:val="zh-CN"/>
        </w:rPr>
        <w:t xml:space="preserve">。</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投标文件编制要求</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投标文件按统一格式、顺序编写。</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《开标一览表》为在开标仪式上唱标的内容，要求按格式填写，统一规范，不得自行增减内容。</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投标报价（编制）要求的说明</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投标报价应包括</w:t>
      </w:r>
      <w:r>
        <w:rPr>
          <w:rFonts w:hint="eastAsia" w:ascii="宋体" w:hAnsi="宋体" w:eastAsia="宋体" w:cs="宋体"/>
          <w:color w:val="000000"/>
          <w:sz w:val="21"/>
          <w:szCs w:val="21"/>
        </w:rPr>
        <w:t xml:space="preserve">全部标的物及其备品备件、</w:t>
      </w:r>
      <w:r>
        <w:rPr>
          <w:rFonts w:hint="eastAsia" w:ascii="宋体" w:hAnsi="宋体" w:eastAsia="宋体" w:cs="宋体"/>
          <w:color w:val="000000"/>
          <w:sz w:val="21"/>
          <w:szCs w:val="21"/>
          <w:lang w:val="zh-CN"/>
        </w:rPr>
        <w:t xml:space="preserve">部署费用、设备安装调试、日常运维、技术培训、系统升级等人工与技术服务费、材料、机械、管理、利润、税金、政策性文件规定及合同包含的所有风险、责任等一切费用。投标报价为最终报价，投标人所报价格在合同实施期间不因市场变化因素而变动。</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投标人应按《公开分项报价表》中的全部服务内容的每一单项计算并填写单价和总价，并由企业法定代表人或委托代理人签署。</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一项投标内容（标段）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投标文件报价采用人民币表示，除非合同的特殊条款另有规定。</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最低的投标报价是中标的重要条件但不是唯一条件。</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投标保证金：</w:t>
      </w:r>
      <w:r>
        <w:rPr>
          <w:rStyle w:val="944"/>
          <w:rFonts w:hint="eastAsia" w:ascii="宋体" w:hAnsi="宋体" w:eastAsia="宋体" w:cs="宋体"/>
          <w:b/>
          <w:color w:val="000000"/>
          <w:sz w:val="21"/>
          <w:szCs w:val="21"/>
        </w:rPr>
        <w:t xml:space="preserve">不需提交，招标文件中有关投标保证金的规定均不适用。投标（响应）人应在投标（响应）文件中提交《投标（响应）保证承诺书》（详见附件），否则为无效投标。</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投标文件的有效期</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提交投标文件的截止之日起九十日内</w:t>
      </w:r>
      <w:r>
        <w:rPr>
          <w:rFonts w:hint="eastAsia" w:ascii="宋体" w:hAnsi="宋体" w:eastAsia="宋体" w:cs="宋体"/>
          <w:color w:val="000000"/>
          <w:sz w:val="21"/>
          <w:szCs w:val="21"/>
          <w:lang w:val="zh-CN"/>
        </w:rPr>
        <w:t xml:space="preserve">，投标书应保持有效。有效期短于这个规定期限的投标文件，将被拒绝。</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投标文件的制作、签署、上传</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本项目采用电子招投标形式，请供应商按照</w:t>
      </w:r>
      <w:r>
        <w:rPr>
          <w:rFonts w:hint="eastAsia" w:ascii="宋体" w:hAnsi="宋体" w:eastAsia="宋体" w:cs="宋体"/>
          <w:b/>
          <w:bCs/>
          <w:color w:val="000000"/>
          <w:sz w:val="21"/>
          <w:szCs w:val="21"/>
        </w:rPr>
        <w:t xml:space="preserve">《苏采云系统供应商操作手册》</w:t>
      </w:r>
      <w:r>
        <w:rPr>
          <w:rFonts w:hint="eastAsia" w:ascii="宋体" w:hAnsi="宋体" w:eastAsia="宋体" w:cs="宋体"/>
          <w:color w:val="000000"/>
          <w:sz w:val="21"/>
          <w:szCs w:val="21"/>
        </w:rPr>
        <w:t xml:space="preserve">进行制作、上传电子投标文件。</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制作电子投标文件时，应按照招标文件要求加盖投标人电子公章。</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b/>
          <w:bCs/>
          <w:color w:val="000000"/>
          <w:sz w:val="21"/>
          <w:szCs w:val="21"/>
        </w:rPr>
        <w:t xml:space="preserve">电子投标文件制作完成后请于投标文件网上提交截止时间前成功上传至“苏采云”系统，否则视为放弃参加该采购项目。</w:t>
      </w:r>
      <w:r>
        <w:rPr>
          <w:rFonts w:hint="eastAsia" w:ascii="宋体" w:hAnsi="宋体" w:eastAsia="宋体" w:cs="宋体"/>
          <w:color w:val="000000"/>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cs="宋体"/>
        </w:rPr>
      </w:r>
      <w:r/>
    </w:p>
    <w:p>
      <w:pPr>
        <w:pStyle w:val="859"/>
        <w:numPr>
          <w:ilvl w:val="0"/>
          <w:numId w:val="3"/>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投标文件的递交（上传）</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投标文件的递交</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投标人应当在投标截止时间前制作并上传电子投标文件。</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投标人通过“苏采云”系统不见面开标大厅在线参与开标活动。（具体操作详见《苏采云系统供应商操作手册》，网址链接https：//czju.suzhou.gov.cn/zfcg/html/content/20231220161910031.shtml）</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纸质</w:t>
      </w:r>
      <w:r>
        <w:rPr>
          <w:rFonts w:hint="eastAsia" w:ascii="宋体" w:hAnsi="宋体" w:eastAsia="宋体" w:cs="宋体"/>
          <w:b/>
          <w:bCs/>
          <w:color w:val="000000"/>
          <w:sz w:val="21"/>
          <w:szCs w:val="21"/>
        </w:rPr>
        <w:t xml:space="preserve">投标</w:t>
      </w:r>
      <w:r>
        <w:rPr>
          <w:rFonts w:hint="eastAsia" w:ascii="宋体" w:hAnsi="宋体" w:eastAsia="宋体" w:cs="宋体"/>
          <w:b/>
          <w:bCs/>
          <w:color w:val="000000"/>
          <w:sz w:val="21"/>
          <w:szCs w:val="21"/>
          <w:lang w:val="zh-CN"/>
        </w:rPr>
        <w:t xml:space="preserve">文件：</w:t>
      </w:r>
      <w:r>
        <w:rPr>
          <w:rFonts w:hint="eastAsia" w:ascii="宋体" w:hAnsi="宋体" w:eastAsia="宋体" w:cs="宋体"/>
          <w:b/>
          <w:bCs/>
          <w:color w:val="000000"/>
          <w:sz w:val="21"/>
          <w:szCs w:val="21"/>
        </w:rPr>
        <w:t xml:space="preserve">中标后5个工作日内，中标单位向招标代理机构提供与电子投标文件内容一致的纸质投标文件两份。</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投标截止时间</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投标人应当在招标文件要求投标文件网上提交截止时间前，将投标文件完成提交（上传）。逾期提交（上传）的投标文件，采购人和采购代理机构拒绝接收。</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采购人和采购代理机构推迟投标截止时间时，将按本须知规定的更正公告的方式对外发布。在这种情况下，采购人、采购代理机构和投标人的权利和义务将受到新的截止期的约束。</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在投标截止时间止成功解密的投标文件少于三份，采购代理机构有权宣布本次招标失败。</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投标文件的补充、修改和撤回</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投标人在投标文件网上提交截止时间前，可以对其电子投标文件进行补充、修改，具体操作方法见</w:t>
      </w:r>
      <w:r>
        <w:rPr>
          <w:rFonts w:hint="eastAsia" w:ascii="宋体" w:hAnsi="宋体" w:eastAsia="宋体" w:cs="宋体"/>
          <w:b/>
          <w:bCs/>
          <w:color w:val="000000"/>
          <w:sz w:val="21"/>
          <w:szCs w:val="21"/>
        </w:rPr>
        <w:t xml:space="preserve">《苏采云系统供应商操作手册》</w:t>
      </w:r>
      <w:r>
        <w:rPr>
          <w:rFonts w:hint="eastAsia" w:ascii="宋体" w:hAnsi="宋体" w:eastAsia="宋体" w:cs="宋体"/>
          <w:color w:val="000000"/>
          <w:sz w:val="21"/>
          <w:szCs w:val="21"/>
        </w:rPr>
        <w:t xml:space="preserve">。在投标文件网上提交截止时间之后，投标人不得对其电子投标文件作任何修改</w:t>
      </w:r>
      <w:r>
        <w:rPr>
          <w:rFonts w:hint="eastAsia" w:ascii="宋体" w:hAnsi="宋体" w:eastAsia="宋体" w:cs="宋体"/>
          <w:color w:val="000000"/>
          <w:sz w:val="21"/>
          <w:szCs w:val="21"/>
          <w:lang w:val="zh-CN"/>
        </w:rPr>
        <w:t xml:space="preserve">。</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投标人在投标文件网上提交截止时间前，可以撤回其电子投标文件，具体操作方法见</w:t>
      </w:r>
      <w:r>
        <w:rPr>
          <w:rFonts w:hint="eastAsia" w:ascii="宋体" w:hAnsi="宋体" w:eastAsia="宋体" w:cs="宋体"/>
          <w:b/>
          <w:bCs/>
          <w:color w:val="000000"/>
          <w:sz w:val="21"/>
          <w:szCs w:val="21"/>
        </w:rPr>
        <w:t xml:space="preserve">《苏采云系统供应商操作手册》</w:t>
      </w:r>
      <w:r>
        <w:rPr>
          <w:rFonts w:hint="eastAsia" w:ascii="宋体" w:hAnsi="宋体" w:eastAsia="宋体" w:cs="宋体"/>
          <w:color w:val="000000"/>
          <w:sz w:val="21"/>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000000"/>
          <w:sz w:val="21"/>
          <w:szCs w:val="21"/>
          <w:lang w:val="zh-CN"/>
        </w:rPr>
        <w:t xml:space="preserve">。</w:t>
      </w:r>
      <w:r>
        <w:rPr>
          <w:rFonts w:ascii="宋体" w:hAnsi="宋体" w:cs="宋体"/>
        </w:rPr>
      </w:r>
      <w:r/>
    </w:p>
    <w:p>
      <w:pPr>
        <w:pStyle w:val="859"/>
        <w:numPr>
          <w:ilvl w:val="0"/>
          <w:numId w:val="3"/>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开标和评标</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开标</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开标由采购代理机构</w:t>
      </w:r>
      <w:r>
        <w:rPr>
          <w:rFonts w:hint="eastAsia" w:ascii="宋体" w:hAnsi="宋体" w:eastAsia="宋体" w:cs="宋体"/>
          <w:color w:val="000000"/>
          <w:sz w:val="21"/>
          <w:szCs w:val="21"/>
        </w:rPr>
        <w:t xml:space="preserve">在线</w:t>
      </w:r>
      <w:r>
        <w:rPr>
          <w:rFonts w:hint="eastAsia" w:ascii="宋体" w:hAnsi="宋体" w:eastAsia="宋体" w:cs="宋体"/>
          <w:color w:val="000000"/>
          <w:sz w:val="21"/>
          <w:szCs w:val="21"/>
          <w:lang w:val="zh-CN"/>
        </w:rPr>
        <w:t xml:space="preserve">主持，邀请投标人</w:t>
      </w:r>
      <w:r>
        <w:rPr>
          <w:rFonts w:hint="eastAsia" w:ascii="宋体" w:hAnsi="宋体" w:eastAsia="宋体" w:cs="宋体"/>
          <w:color w:val="000000"/>
          <w:sz w:val="21"/>
          <w:szCs w:val="21"/>
        </w:rPr>
        <w:t xml:space="preserve">在线</w:t>
      </w:r>
      <w:r>
        <w:rPr>
          <w:rFonts w:hint="eastAsia" w:ascii="宋体" w:hAnsi="宋体" w:eastAsia="宋体" w:cs="宋体"/>
          <w:color w:val="000000"/>
          <w:sz w:val="21"/>
          <w:szCs w:val="21"/>
          <w:lang w:val="zh-CN"/>
        </w:rPr>
        <w:t xml:space="preserve">参加。投标人应当按照《苏采云系统供应商操作手册》规定，</w:t>
      </w:r>
      <w:r>
        <w:rPr>
          <w:rFonts w:hint="eastAsia" w:ascii="宋体" w:hAnsi="宋体" w:eastAsia="宋体" w:cs="宋体"/>
          <w:b/>
          <w:bCs/>
          <w:color w:val="000000"/>
          <w:sz w:val="21"/>
          <w:szCs w:val="21"/>
          <w:lang w:val="zh-CN"/>
        </w:rPr>
        <w:t xml:space="preserve">参加开标活动和在“苏采云”系统规定的时间内对投标文件进行解密</w:t>
      </w:r>
      <w:r>
        <w:rPr>
          <w:rFonts w:hint="eastAsia" w:ascii="宋体" w:hAnsi="宋体" w:eastAsia="宋体" w:cs="宋体"/>
          <w:color w:val="000000"/>
          <w:sz w:val="21"/>
          <w:szCs w:val="21"/>
          <w:lang w:val="zh-CN"/>
        </w:rPr>
        <w:t xml:space="preserve">。评标委员会成员不得参加开标活动。</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开标时，由采购代理机构</w:t>
      </w:r>
      <w:r>
        <w:rPr>
          <w:rFonts w:hint="eastAsia" w:ascii="宋体" w:hAnsi="宋体" w:eastAsia="宋体" w:cs="宋体"/>
          <w:color w:val="000000"/>
          <w:sz w:val="21"/>
          <w:szCs w:val="21"/>
        </w:rPr>
        <w:t xml:space="preserve">通过“苏采云”系统在线</w:t>
      </w:r>
      <w:r>
        <w:rPr>
          <w:rFonts w:hint="eastAsia" w:ascii="宋体" w:hAnsi="宋体" w:eastAsia="宋体" w:cs="宋体"/>
          <w:color w:val="000000"/>
          <w:sz w:val="21"/>
          <w:szCs w:val="21"/>
          <w:lang w:val="zh-CN"/>
        </w:rPr>
        <w:t xml:space="preserve">宣布投标人名称、投标价格和招标文件规定的需要宣布的其他内容。</w:t>
      </w:r>
      <w:r>
        <w:rPr>
          <w:rFonts w:hint="eastAsia" w:ascii="宋体" w:hAnsi="宋体" w:eastAsia="宋体" w:cs="宋体"/>
          <w:color w:val="000000"/>
          <w:sz w:val="21"/>
          <w:szCs w:val="21"/>
        </w:rPr>
        <w:t xml:space="preserve">投标人在不见面开标系统中确认投标价格，如</w:t>
      </w:r>
      <w:r>
        <w:rPr>
          <w:rFonts w:hint="eastAsia" w:ascii="宋体" w:hAnsi="宋体" w:eastAsia="宋体" w:cs="宋体"/>
          <w:color w:val="000000"/>
          <w:sz w:val="21"/>
          <w:szCs w:val="21"/>
          <w:lang w:val="zh-CN"/>
        </w:rPr>
        <w:t xml:space="preserve">投标人未</w:t>
      </w:r>
      <w:r>
        <w:rPr>
          <w:rFonts w:hint="eastAsia" w:ascii="宋体" w:hAnsi="宋体" w:eastAsia="宋体" w:cs="宋体"/>
          <w:color w:val="000000"/>
          <w:sz w:val="21"/>
          <w:szCs w:val="21"/>
        </w:rPr>
        <w:t xml:space="preserve">在线</w:t>
      </w:r>
      <w:r>
        <w:rPr>
          <w:rFonts w:hint="eastAsia" w:ascii="宋体" w:hAnsi="宋体" w:eastAsia="宋体" w:cs="宋体"/>
          <w:color w:val="000000"/>
          <w:sz w:val="21"/>
          <w:szCs w:val="21"/>
          <w:lang w:val="zh-CN"/>
        </w:rPr>
        <w:t xml:space="preserve">参加开标</w:t>
      </w:r>
      <w:r>
        <w:rPr>
          <w:rFonts w:hint="eastAsia" w:ascii="宋体" w:hAnsi="宋体" w:eastAsia="宋体" w:cs="宋体"/>
          <w:color w:val="000000"/>
          <w:sz w:val="21"/>
          <w:szCs w:val="21"/>
        </w:rPr>
        <w:t xml:space="preserve">或未在规定时间内确认价格</w:t>
      </w:r>
      <w:r>
        <w:rPr>
          <w:rFonts w:hint="eastAsia" w:ascii="宋体" w:hAnsi="宋体" w:eastAsia="宋体" w:cs="宋体"/>
          <w:color w:val="000000"/>
          <w:sz w:val="21"/>
          <w:szCs w:val="21"/>
          <w:lang w:val="zh-CN"/>
        </w:rPr>
        <w:t xml:space="preserve">的，视同认可开标结果。</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资格审查</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公开招标采购项目开标结束后，采购人或采购代理机构应当依法对投标人的资格进行审查，未通过资格审查的视为无效投标。</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评标委员会或评标小组</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评标委员会或评标小组（以下简称评标委员会）成员依法组建。</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评标委员会或评标小组负责具体的评标事务，并独立履行以下职责：</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审查、评价投标文件是否符合招标文件的商务、技术等实质性要求；</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要求投标人对投标文件有关事项作出澄清或者说明；</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对投标文件进行比较和评价；</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确定中标候选人名单，以及根据采购单位委托直接确定中标单位；</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向采购单位、采购代理机构或者有关部门报告评标中发现的违法行为。</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评标委员会成员应当履行下列义务：</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遵纪守法，客观、公正、廉洁地履行职责；</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按照招标文件规定的评标方法和评标标准进行评标，对评审意见承担个人责任；</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对评标过程和结果，以及投标人的商业秘密保密；</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参与评标报告的起草；</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配合财政部门的投诉处理工作；</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配合招标采购单位答复投标供应商提出的质疑。</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评标内容的保密</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公开开标后，直到宣布授予中标单位合同为止，凡属于审查、澄清、评价和比较投标的所有资料，有关授予合同的信息都不应向投标人或与评标无关的其他人泄露。</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在投标文件的审查、澄清、评价和比较以及授予合同的过程中，投标人对招标代理机构和评标委员会成员施加影响的任何行为，都将取消其中标资格。</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在评标期间，招标代理机构将通过指定联络人与投标人进行联系。</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对投标文件初审</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评标委员会应当对符合资格的投标人的投标文件进行符合性审查，以确定其是否满足招标文件的实质性要求。</w:t>
      </w:r>
      <w:r>
        <w:rPr>
          <w:rFonts w:ascii="宋体" w:hAnsi="宋体" w:cs="宋体"/>
        </w:rPr>
      </w:r>
      <w:r/>
    </w:p>
    <w:p>
      <w:pPr>
        <w:pStyle w:val="859"/>
        <w:ind w:left="540"/>
        <w:spacing w:line="440" w:lineRule="exact"/>
        <w:tabs>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投标文件有下列情况之一者将被拒绝：</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投标人的投标文件未按照本须知规定制作的；</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未按本须知规定提交资格文件或资质不合格；</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与招标文件有重大偏离；</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投标人拒绝修正错误；</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投标人的报价是选择性的；</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投标人的报价只投了部分内容；</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投标人的报价超采购预算（最高限价）或经评标小组评定为无效报价；</w:t>
      </w:r>
      <w:r>
        <w:rPr>
          <w:rFonts w:hint="eastAsia" w:ascii="宋体" w:hAnsi="宋体" w:eastAsia="宋体" w:cs="宋体"/>
          <w:b/>
          <w:bCs/>
          <w:color w:val="000000"/>
          <w:sz w:val="21"/>
          <w:szCs w:val="21"/>
        </w:rPr>
        <w:t xml:space="preserve">根据《苏财购〔2025〕62号》文，评审委员会启动异常低价投标（响应）审查的情形和具体要求，包括：</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（1）评审过程中出现下列情形之一的（采购预算与最高限价一致的按照序号①），评审委员会应当启动异常低价投标（响应）审查程序：</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①投标（响应）报价低于采购项目预算50%的，即投标（响应）报价&lt;采购项目预算×50%；</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②投标（响应）报价低于采购项目最高限价45%的，即投标（响应）报价&lt;采购项目最高限价×45%；</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③评审委员会认定的供应商报价过低、有可能影响产品质量或者不能诚信履约的其他情形。</w:t>
      </w:r>
      <w:r>
        <w:rPr>
          <w:rFonts w:ascii="宋体" w:hAnsi="宋体" w:cs="宋体"/>
        </w:rPr>
      </w:r>
      <w:r/>
    </w:p>
    <w:p>
      <w:pPr>
        <w:pStyle w:val="920"/>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其他被评委会认定无效的情况。</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查询时间：投标文件递交截止时间后。</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查询渠道：采购代理机构会在接收投标文件截止时间后，登录信用中国网站（www.creditchina.gov.cn）和中国政府采购网（www.ccgp.gov.cn/）查询供应商的信用记录，并将查询结果递交评标委员会。</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rPr>
      </w:r>
      <w:r/>
    </w:p>
    <w:p>
      <w:pPr>
        <w:pStyle w:val="859"/>
        <w:ind w:left="1417"/>
        <w:spacing w:line="440" w:lineRule="exact"/>
        <w:tabs>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（一）政府采购严重违法记录，即供应商被全国各级财政部门列入“政府采购严重违法失信行为记录名单”，且在处罚有效期内的。</w:t>
      </w:r>
      <w:r>
        <w:rPr>
          <w:rFonts w:ascii="宋体" w:hAnsi="宋体" w:cs="宋体"/>
        </w:rPr>
      </w:r>
      <w:r/>
    </w:p>
    <w:p>
      <w:pPr>
        <w:pStyle w:val="859"/>
        <w:ind w:left="1417"/>
        <w:spacing w:line="440" w:lineRule="exact"/>
        <w:tabs>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（二）财政部门与法院、工商、税务等部门联合惩戒的失信信息，包括：</w:t>
      </w:r>
      <w:r>
        <w:rPr>
          <w:rFonts w:ascii="宋体" w:hAnsi="宋体" w:cs="宋体"/>
        </w:rPr>
      </w:r>
      <w:r/>
    </w:p>
    <w:p>
      <w:pPr>
        <w:pStyle w:val="859"/>
        <w:ind w:left="1417"/>
        <w:spacing w:line="440" w:lineRule="exact"/>
        <w:tabs>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（1）被列入失信被执行人名单；</w:t>
      </w:r>
      <w:r>
        <w:rPr>
          <w:rFonts w:ascii="宋体" w:hAnsi="宋体" w:cs="宋体"/>
        </w:rPr>
      </w:r>
      <w:r/>
    </w:p>
    <w:p>
      <w:pPr>
        <w:pStyle w:val="859"/>
        <w:ind w:left="1417"/>
        <w:spacing w:line="440" w:lineRule="exact"/>
        <w:tabs>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（2）被列入重大税收违法案件当事人名单；</w:t>
      </w:r>
      <w:r>
        <w:rPr>
          <w:rFonts w:ascii="宋体" w:hAnsi="宋体" w:cs="宋体"/>
        </w:rPr>
      </w:r>
      <w:r/>
    </w:p>
    <w:p>
      <w:pPr>
        <w:pStyle w:val="859"/>
        <w:ind w:left="1417"/>
        <w:spacing w:line="440" w:lineRule="exact"/>
        <w:tabs>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评委会将对确定为实质上响应的投标进行审核，看其是否有计算上或累加上的算术错误，修正错误的原则如下：</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投标文件中开标一览表（报价表）内容与投标文件中相应内容不一致的，以开标一览表（报价表）为准；</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大写金额和小写金额不一致的，以大写金额为准；</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单价金额小数点或者百分比有明显错位的，以开标一览表的总价为准，并修改单价；</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总价金额与按单价汇总金额不一致的，以单价金额计算结果为准。</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招标代理机构对投标文件的判定，只依据投标内容本身，不依靠开标后的任何外来证明。</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招标代理机构将拒绝被确定为非实质性响应的投标，投标人不能通过修正或撤销不符之处而使其投标成为实质性响应的投标。</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投标的澄清</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对于投标文件中含义不明确、同类问题表述不一致或者有明显文字和计算错误的内容，评标委员会应当以书面形式要求投标人作出必要的澄清、说明或者补正。</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投标人的澄清、说明或者补正应当采用书面形式，并加盖其单位电子公章。投标人的澄清、说明或者补正不得超出投标文件的范围或者改变投标文件的实质性内容。</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b/>
          <w:bCs/>
          <w:color w:val="000000"/>
          <w:sz w:val="21"/>
          <w:szCs w:val="21"/>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000000"/>
          <w:sz w:val="21"/>
          <w:szCs w:val="21"/>
          <w:lang w:val="zh-CN"/>
        </w:rPr>
        <w:t xml:space="preserve">供应商应随时保持系统在线，如因供应商自身原因未在规定时间内提交澄清确认资料的，导致的不利后果由供应商自行承担。</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无效投标的具体情形有：</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未按照招标文件规定要求签署、盖章的；</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不具备招标文件中规定资格要求的；</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报价超过招标文件中规定的预算金额（总预算和单项预算）或者最高限价的；</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投标文件含有采购人不能接受的附加条件的；</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平台报名系统内投标单位（投标单位）的报名名称（CA用户名）与投标文件中投标单位（投标单位）名称不一致的；</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因投标单位自身原因导致网上投标文件无法递交的其他情况；</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不同投标（响应）文件制作机器码一致的；</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法律、法规和招标文件规定的其他无效情形。</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废标的具体情形有：</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符合专业条件的供应商或者对招标文件作实质响应的供应商不足三家的；</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出现影响采购公正的违法、违规行为的；</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投标人的报价均超过了采购预算（总预算和单项预算）或者最高限价的，采购人不能支付的； </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因重大变故，采购任务取消的。</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投标文件的评价和比较</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评标委员会将仅对按照本须知有关规定确定为实质上响应招标文件要求的投标文件进行评价和比较。</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针对本项目的服务方案；</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针对本项目的人员投入；</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投标者的质量、服务措施；</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投标者提供的其他优惠条件；</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参与本项目政府采购工作的态度及信誉；</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最低的投标报价是中标的重要条件但不是唯一条件。</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评标原则及方法</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公正、公平、公开、科学、择优。</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对所有投标文件的评审，均采用相同的程序和标准。</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评审方案的可行性、先进性、实用性以及风险等（含同类项目业绩，人员资质，实施本项目的资金能力、技术能力、履约能力和用户信誉等方面的从业表现等）。</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评审技术服务的承诺文件是否满足采购单位的要求。</w:t>
      </w:r>
      <w:r>
        <w:rPr>
          <w:rFonts w:ascii="宋体" w:hAnsi="宋体" w:cs="宋体"/>
        </w:rPr>
      </w:r>
      <w:r/>
    </w:p>
    <w:p>
      <w:pPr>
        <w:pStyle w:val="859"/>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评委会根据评分标准（除报价）进行独立打分，公证员进行汇总并按算术平均方法计算出各投标单位的得分，报价得分根据评分标准直接计算取得，评委得分与报价得分之和最高者为中标单位。</w:t>
      </w:r>
      <w:r>
        <w:rPr>
          <w:rFonts w:ascii="宋体" w:hAnsi="宋体" w:cs="宋体"/>
        </w:rPr>
      </w:r>
      <w:r/>
    </w:p>
    <w:p>
      <w:pPr>
        <w:pStyle w:val="859"/>
        <w:numPr>
          <w:ilvl w:val="0"/>
          <w:numId w:val="3"/>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授予合同</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中标单位的确认</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评标委员会根据投标单位专业性资格审查情况和符合性审查情况，对投标文件进行评价和比较，按照评标办法和标准进行评标，并按招标代理机构的委托向招标代理机构推荐中标单位。</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经评标委员会评审并确定中标单位后，招标代理机构将在规定的时间内将中标结果在政府采购管理部门指定媒体上予以公示。</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政府采购合同履行中，采购单位需追加与合同标的相同的货物、工程或服务的，在不改变合同其他条款的前提下，可以与供应商协商签订补充合同，但所有补充合同的采购金额不得超过原合同采购金额的10%。 </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质疑处理</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本次招标文件要求供应商在法定质疑期内一次性提出针对同一采购程序环节的质疑，否则不予受理。</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供应商提出质疑应当提交质疑函和必要的证明材料，质疑函应当包括下列内容：</w:t>
      </w:r>
      <w:r>
        <w:rPr>
          <w:rFonts w:ascii="宋体" w:hAnsi="宋体" w:cs="宋体"/>
        </w:rPr>
      </w:r>
      <w:r/>
    </w:p>
    <w:p>
      <w:pPr>
        <w:pStyle w:val="1045"/>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（1）供应商的姓名或者名称（以提供的营业执照副本复印件为准）、地址、邮编、联系人及联系电话；</w:t>
      </w:r>
      <w:r>
        <w:rPr>
          <w:rFonts w:ascii="宋体" w:hAnsi="宋体" w:cs="宋体"/>
        </w:rPr>
      </w:r>
      <w:r/>
    </w:p>
    <w:p>
      <w:pPr>
        <w:pStyle w:val="1045"/>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（2）质疑项目的名称、编号；</w:t>
      </w:r>
      <w:r>
        <w:rPr>
          <w:rFonts w:ascii="宋体" w:hAnsi="宋体" w:cs="宋体"/>
        </w:rPr>
      </w:r>
      <w:r/>
    </w:p>
    <w:p>
      <w:pPr>
        <w:pStyle w:val="1045"/>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（3）具体、明确的质疑事项和与质疑事项相关的请求；</w:t>
      </w:r>
      <w:r>
        <w:rPr>
          <w:rFonts w:ascii="宋体" w:hAnsi="宋体" w:cs="宋体"/>
        </w:rPr>
      </w:r>
      <w:r/>
    </w:p>
    <w:p>
      <w:pPr>
        <w:pStyle w:val="1045"/>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（4）事实依据；</w:t>
      </w:r>
      <w:r>
        <w:rPr>
          <w:rFonts w:ascii="宋体" w:hAnsi="宋体" w:cs="宋体"/>
        </w:rPr>
      </w:r>
      <w:r/>
    </w:p>
    <w:p>
      <w:pPr>
        <w:pStyle w:val="1045"/>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（5）必要的法律依据；</w:t>
      </w:r>
      <w:r>
        <w:rPr>
          <w:rFonts w:ascii="宋体" w:hAnsi="宋体" w:cs="宋体"/>
        </w:rPr>
      </w:r>
      <w:r/>
    </w:p>
    <w:p>
      <w:pPr>
        <w:pStyle w:val="1045"/>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（6）提出质疑的日期。</w:t>
      </w:r>
      <w:r>
        <w:rPr>
          <w:rFonts w:ascii="宋体" w:hAnsi="宋体" w:cs="宋体"/>
        </w:rPr>
      </w:r>
      <w:r/>
    </w:p>
    <w:p>
      <w:pPr>
        <w:pStyle w:val="1045"/>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000000"/>
          <w:sz w:val="21"/>
          <w:szCs w:val="21"/>
          <w:lang w:val="zh-CN"/>
        </w:rPr>
        <w:t xml:space="preserve">授权委托书</w:t>
      </w:r>
      <w:r>
        <w:rPr>
          <w:rFonts w:hint="eastAsia" w:ascii="宋体" w:hAnsi="宋体" w:eastAsia="宋体" w:cs="宋体"/>
          <w:color w:val="000000"/>
          <w:sz w:val="21"/>
          <w:szCs w:val="21"/>
          <w:lang w:val="zh-CN"/>
        </w:rPr>
        <w:t xml:space="preserve">上应当载明代理人的姓名或者名称、代理事项、具体权限、期限和相关事项。</w:t>
      </w:r>
      <w:r>
        <w:rPr>
          <w:rFonts w:ascii="宋体" w:hAnsi="宋体" w:cs="宋体"/>
        </w:rPr>
      </w:r>
      <w:r/>
    </w:p>
    <w:p>
      <w:pPr>
        <w:pStyle w:val="1045"/>
        <w:ind w:firstLine="422"/>
        <w:jc w:val="left"/>
        <w:spacing w:line="440" w:lineRule="exact"/>
        <w:rPr>
          <w:rFonts w:hint="eastAsia" w:ascii="宋体" w:hAnsi="宋体" w:cs="宋体"/>
          <w:color w:val="000000"/>
          <w:sz w:val="21"/>
          <w:szCs w:val="21"/>
        </w:rPr>
      </w:pPr>
      <w:r>
        <w:rPr>
          <w:rFonts w:hint="eastAsia" w:ascii="宋体" w:hAnsi="宋体" w:eastAsia="宋体" w:cs="宋体"/>
          <w:b/>
          <w:bCs/>
          <w:color w:val="000000"/>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1"/>
          <w:szCs w:val="21"/>
          <w:lang w:val="zh-CN"/>
        </w:rPr>
        <w:t xml:space="preserve">。</w:t>
      </w:r>
      <w:r>
        <w:rPr>
          <w:rFonts w:ascii="宋体" w:hAnsi="宋体" w:cs="宋体"/>
        </w:rPr>
      </w:r>
      <w:r/>
    </w:p>
    <w:p>
      <w:pPr>
        <w:pStyle w:val="859"/>
        <w:ind w:firstLine="420"/>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供应商提出书面质疑必须有理、有据，不得恶意质疑或提交虚假质疑。否则，一经查实，采购人有权依据政府采购的有关规定，报请政府采购监管部门对该质疑单位进行相应的行政处罚。</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接收质疑函的方式：书面形式（当场送达或邮寄方式）。</w:t>
      </w:r>
      <w:r>
        <w:rPr>
          <w:rFonts w:ascii="宋体" w:hAnsi="宋体" w:cs="宋体"/>
        </w:rPr>
      </w:r>
      <w:r/>
    </w:p>
    <w:p>
      <w:pPr>
        <w:pStyle w:val="1045"/>
        <w:ind w:firstLine="53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采购代理机构：苏州欣禾诚工程咨询服务有限公司</w:t>
      </w:r>
      <w:r>
        <w:rPr>
          <w:rFonts w:ascii="宋体" w:hAnsi="宋体" w:cs="宋体"/>
        </w:rPr>
      </w:r>
      <w:r/>
    </w:p>
    <w:p>
      <w:pPr>
        <w:pStyle w:val="1045"/>
        <w:ind w:firstLine="53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质疑联系人：</w:t>
      </w:r>
      <w:r>
        <w:rPr>
          <w:rFonts w:hint="eastAsia" w:ascii="宋体" w:hAnsi="宋体" w:eastAsia="宋体" w:cs="宋体"/>
          <w:color w:val="000000"/>
          <w:sz w:val="21"/>
          <w:szCs w:val="21"/>
        </w:rPr>
        <w:t xml:space="preserve">朱思薇、吴清芬</w:t>
      </w:r>
      <w:r>
        <w:rPr>
          <w:rFonts w:ascii="宋体" w:hAnsi="宋体" w:cs="宋体"/>
        </w:rPr>
      </w:r>
      <w:r/>
    </w:p>
    <w:p>
      <w:pPr>
        <w:pStyle w:val="1045"/>
        <w:ind w:firstLine="53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邮编：</w:t>
      </w:r>
      <w:r>
        <w:rPr>
          <w:rFonts w:hint="eastAsia" w:ascii="宋体" w:hAnsi="宋体" w:cs="宋体"/>
          <w:color w:val="000000"/>
          <w:sz w:val="21"/>
          <w:szCs w:val="21"/>
        </w:rPr>
        <w:t xml:space="preserve">215200</w:t>
      </w:r>
      <w:r>
        <w:rPr>
          <w:rFonts w:ascii="宋体" w:hAnsi="宋体" w:cs="宋体"/>
        </w:rPr>
      </w:r>
      <w:r/>
    </w:p>
    <w:p>
      <w:pPr>
        <w:pStyle w:val="1045"/>
        <w:ind w:firstLine="53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联系电话：0512-</w:t>
      </w:r>
      <w:r>
        <w:rPr>
          <w:rFonts w:hint="eastAsia" w:ascii="宋体" w:hAnsi="宋体" w:cs="宋体"/>
          <w:color w:val="000000"/>
          <w:sz w:val="21"/>
          <w:szCs w:val="21"/>
        </w:rPr>
        <w:t xml:space="preserve">63659266</w:t>
      </w:r>
      <w:r>
        <w:rPr>
          <w:rFonts w:ascii="宋体" w:hAnsi="宋体" w:cs="宋体"/>
        </w:rPr>
      </w:r>
      <w:r/>
    </w:p>
    <w:p>
      <w:pPr>
        <w:pStyle w:val="1045"/>
        <w:ind w:firstLine="53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现场递交地址</w:t>
      </w:r>
      <w:r>
        <w:rPr>
          <w:rFonts w:hint="eastAsia" w:ascii="宋体" w:hAnsi="宋体" w:eastAsia="宋体" w:cs="宋体"/>
          <w:color w:val="000000"/>
          <w:sz w:val="21"/>
          <w:szCs w:val="21"/>
        </w:rPr>
        <w:t xml:space="preserve">：苏州市吴江区鲈乡南路2485号明珠大厦北楼1702A</w:t>
      </w:r>
      <w:r>
        <w:rPr>
          <w:rFonts w:ascii="宋体" w:hAnsi="宋体" w:cs="宋体"/>
        </w:rPr>
      </w:r>
      <w:r/>
    </w:p>
    <w:p>
      <w:pPr>
        <w:pStyle w:val="1045"/>
        <w:ind w:firstLine="53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邮寄收取地址</w:t>
      </w:r>
      <w:r>
        <w:rPr>
          <w:rFonts w:hint="eastAsia" w:ascii="宋体" w:hAnsi="宋体" w:eastAsia="宋体" w:cs="宋体"/>
          <w:color w:val="000000"/>
          <w:sz w:val="21"/>
          <w:szCs w:val="21"/>
        </w:rPr>
        <w:t xml:space="preserve">：苏州市吴江区鲈乡南路2485号明珠大厦北楼1702A</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合同授予标准</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招标代理机构将把合同授予其投标文件在实质上响应招标文件要求和按本须知规定评选出的投标单位。确定为中标的投标单位必须具有实施本合同的能力和资源。</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中标通知书</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确定出中标人后，采购代理机构在法定时间内向中标人发出中标通知书。</w:t>
      </w:r>
      <w:r>
        <w:rPr>
          <w:rFonts w:hint="eastAsia" w:ascii="宋体" w:hAnsi="宋体" w:eastAsia="宋体" w:cs="宋体"/>
          <w:b/>
          <w:bCs/>
          <w:color w:val="000000"/>
          <w:sz w:val="21"/>
          <w:szCs w:val="21"/>
          <w:lang w:val="zh-CN"/>
        </w:rPr>
        <w:t xml:space="preserve">请中标人在中标结果公告届满之日起30日内，使用CA证书登录“苏采云”系统及时下载中标通知书。</w:t>
      </w:r>
      <w:r>
        <w:rPr>
          <w:rFonts w:hint="eastAsia" w:ascii="宋体" w:hAnsi="宋体" w:eastAsia="宋体" w:cs="宋体"/>
          <w:color w:val="000000"/>
          <w:sz w:val="21"/>
          <w:szCs w:val="21"/>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中标通知书将成为合同的组成部分，对采购人和中标人具有同等法律效力。</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中标通知书发出后，采购人不得违法改变中标结果，中标人无正当理由不得放弃中标。</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合同的签订</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中标单位应按中标通知书中规定的时间和地点，由法定代表人或委托代理人与甲方代表签订合同，否则按放弃中标权处理。</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签订合同及合同条款应以招标文件和中标单位的投标文件及其澄清文件为依据。</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中标单位无正当理由拒签合同的，或在签订合同时向采购单位提出附加条件或者更改合同实质性内容的，报请政府采购监管部门对该投标单位进行相应的行政处罚。</w:t>
      </w:r>
      <w:r>
        <w:rPr>
          <w:rFonts w:ascii="宋体" w:hAnsi="宋体" w:cs="宋体"/>
        </w:rPr>
      </w:r>
      <w:r/>
    </w:p>
    <w:p>
      <w:pPr>
        <w:pStyle w:val="859"/>
        <w:numPr>
          <w:ilvl w:val="0"/>
          <w:numId w:val="3"/>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其他事项</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中标服务费</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中标单位须按前附表规定支付中标服务费，该费用应在领取中标通知书时付清。</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中标单位如果未按规定缴纳中标服务费，招标代理机构保留诉讼的权利。</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监督和公证</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政府有关监督部门将对招投标全过程进行监督。</w:t>
      </w:r>
      <w:r>
        <w:rPr>
          <w:rFonts w:ascii="宋体" w:hAnsi="宋体" w:cs="宋体"/>
        </w:rPr>
      </w:r>
      <w:r/>
    </w:p>
    <w:p>
      <w:pPr>
        <w:pStyle w:val="859"/>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未尽事宜</w:t>
      </w:r>
      <w:r>
        <w:rPr>
          <w:rFonts w:ascii="宋体" w:hAnsi="宋体" w:cs="宋体"/>
        </w:rPr>
      </w:r>
      <w:r/>
    </w:p>
    <w:p>
      <w:pPr>
        <w:pStyle w:val="859"/>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按《中华人民共和国政府采购法》及其他有关政府采购的法律法规的规定执行。</w:t>
      </w:r>
      <w:r>
        <w:rPr>
          <w:rFonts w:ascii="宋体" w:hAnsi="宋体" w:cs="宋体"/>
        </w:rPr>
      </w:r>
      <w:r/>
    </w:p>
    <w:p>
      <w:pPr>
        <w:pStyle w:val="859"/>
        <w:jc w:val="center"/>
        <w:spacing w:before="166" w:after="166" w:line="460" w:lineRule="exact"/>
        <w:rPr>
          <w:rFonts w:ascii="宋体" w:hAnsi="宋体" w:cs="宋体"/>
          <w:b/>
          <w:bCs/>
          <w:color w:val="000000"/>
          <w:sz w:val="44"/>
          <w:szCs w:val="44"/>
        </w:rPr>
      </w:pPr>
      <w:r>
        <w:rPr>
          <w:rFonts w:ascii="宋体" w:hAnsi="宋体" w:cs="宋体"/>
          <w:color w:val="000000"/>
        </w:rPr>
        <w:br w:type="page" w:clear="all"/>
      </w:r>
      <w:r>
        <w:rPr>
          <w:rFonts w:hint="eastAsia" w:ascii="宋体" w:hAnsi="宋体" w:eastAsia="宋体" w:cs="宋体"/>
          <w:b/>
          <w:bCs/>
          <w:color w:val="000000"/>
          <w:sz w:val="44"/>
          <w:szCs w:val="44"/>
        </w:rPr>
        <w:t xml:space="preserve">第三章  投标文件格式</w:t>
      </w:r>
      <w:bookmarkEnd w:id="42"/>
      <w:r>
        <w:rPr>
          <w:rFonts w:ascii="宋体" w:hAnsi="宋体" w:cs="宋体"/>
        </w:rPr>
      </w:r>
      <w:r/>
    </w:p>
    <w:p>
      <w:pPr>
        <w:pStyle w:val="859"/>
        <w:spacing w:line="440" w:lineRule="exact"/>
        <w:rPr>
          <w:rFonts w:ascii="宋体" w:hAnsi="宋体" w:cs="宋体"/>
          <w:b/>
          <w:bCs/>
          <w:color w:val="000000"/>
          <w:sz w:val="21"/>
          <w:szCs w:val="21"/>
        </w:rPr>
      </w:pPr>
      <w:r>
        <w:rPr>
          <w:rFonts w:hint="eastAsia" w:ascii="宋体" w:hAnsi="宋体" w:eastAsia="宋体" w:cs="宋体"/>
          <w:b/>
          <w:bCs/>
          <w:color w:val="000000"/>
          <w:sz w:val="21"/>
          <w:szCs w:val="21"/>
        </w:rPr>
        <w:t xml:space="preserve">说明：</w:t>
      </w:r>
      <w:r>
        <w:rPr>
          <w:rFonts w:ascii="宋体" w:hAnsi="宋体" w:cs="宋体"/>
        </w:rPr>
      </w:r>
      <w:r/>
    </w:p>
    <w:p>
      <w:pPr>
        <w:pStyle w:val="859"/>
        <w:ind w:firstLine="420"/>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对本章所有的投标书格式，投标方可根据自身情况进行补充和修改，但补充和修改不得造成与本格式内容有实质性的违背。</w:t>
      </w:r>
      <w:r>
        <w:rPr>
          <w:rFonts w:ascii="宋体" w:hAnsi="宋体" w:cs="宋体"/>
        </w:rPr>
      </w:r>
      <w:r/>
    </w:p>
    <w:p>
      <w:pPr>
        <w:pStyle w:val="859"/>
        <w:spacing w:line="400" w:lineRule="exact"/>
        <w:rPr>
          <w:rFonts w:ascii="宋体" w:hAnsi="宋体" w:cs="宋体"/>
          <w:b/>
          <w:bCs/>
          <w:color w:val="000000"/>
        </w:rPr>
      </w:pPr>
      <w:r>
        <w:rPr>
          <w:rFonts w:ascii="宋体" w:hAnsi="宋体" w:cs="宋体"/>
          <w:b/>
          <w:bCs/>
          <w:color w:val="000000"/>
        </w:rPr>
      </w:r>
      <w:r>
        <w:rPr>
          <w:rFonts w:ascii="宋体" w:hAnsi="宋体" w:cs="宋体"/>
        </w:rPr>
      </w:r>
      <w:r/>
    </w:p>
    <w:p>
      <w:pPr>
        <w:pStyle w:val="859"/>
        <w:spacing w:line="400" w:lineRule="exact"/>
        <w:rPr>
          <w:rFonts w:ascii="宋体" w:hAnsi="宋体" w:cs="宋体"/>
          <w:b/>
          <w:bCs/>
          <w:color w:val="000000"/>
          <w:sz w:val="21"/>
          <w:szCs w:val="21"/>
        </w:rPr>
      </w:pPr>
      <w:r>
        <w:rPr>
          <w:rFonts w:hint="eastAsia" w:ascii="宋体" w:hAnsi="宋体" w:eastAsia="宋体" w:cs="宋体"/>
          <w:b/>
          <w:bCs/>
          <w:color w:val="000000"/>
          <w:sz w:val="21"/>
          <w:szCs w:val="21"/>
        </w:rPr>
        <w:t xml:space="preserve">附件</w:t>
      </w:r>
      <w:r>
        <w:rPr>
          <w:rFonts w:ascii="宋体" w:hAnsi="宋体" w:cs="宋体"/>
          <w:b/>
          <w:bCs/>
          <w:color w:val="000000"/>
          <w:sz w:val="21"/>
          <w:szCs w:val="21"/>
        </w:rPr>
        <w:t xml:space="preserve">1</w:t>
      </w:r>
      <w:r>
        <w:rPr>
          <w:rFonts w:hint="eastAsia" w:ascii="宋体" w:hAnsi="宋体" w:eastAsia="宋体" w:cs="宋体"/>
          <w:b/>
          <w:bCs/>
          <w:color w:val="000000"/>
          <w:sz w:val="21"/>
          <w:szCs w:val="21"/>
        </w:rPr>
        <w:t xml:space="preserve">、（投标方）法定代表人授权委托书</w:t>
      </w:r>
      <w:r>
        <w:rPr>
          <w:rFonts w:ascii="宋体" w:hAnsi="宋体" w:cs="宋体"/>
        </w:rPr>
      </w:r>
      <w:r/>
    </w:p>
    <w:p>
      <w:pPr>
        <w:pStyle w:val="859"/>
        <w:jc w:val="center"/>
        <w:spacing w:line="400" w:lineRule="exact"/>
        <w:rPr>
          <w:rFonts w:ascii="宋体" w:hAnsi="宋体" w:cs="宋体"/>
          <w:b/>
          <w:bCs/>
          <w:color w:val="000000"/>
          <w:sz w:val="21"/>
          <w:szCs w:val="21"/>
        </w:rPr>
      </w:pPr>
      <w:r>
        <w:rPr>
          <w:rFonts w:hint="eastAsia" w:ascii="宋体" w:hAnsi="宋体" w:eastAsia="宋体" w:cs="宋体"/>
          <w:b/>
          <w:bCs/>
          <w:color w:val="000000"/>
          <w:sz w:val="21"/>
          <w:szCs w:val="21"/>
        </w:rPr>
        <w:t xml:space="preserve">授权委托书</w:t>
      </w:r>
      <w:r>
        <w:rPr>
          <w:rFonts w:ascii="宋体" w:hAnsi="宋体" w:cs="宋体"/>
        </w:rPr>
      </w:r>
      <w:r/>
    </w:p>
    <w:p>
      <w:pPr>
        <w:pStyle w:val="859"/>
        <w:ind w:left="211" w:firstLine="434"/>
        <w:spacing w:line="520" w:lineRule="exact"/>
        <w:rPr>
          <w:rFonts w:ascii="宋体" w:hAnsi="宋体" w:cs="宋体"/>
          <w:color w:val="000000"/>
          <w:sz w:val="21"/>
          <w:szCs w:val="21"/>
        </w:rPr>
      </w:pPr>
      <w:r>
        <w:rPr>
          <w:rFonts w:hint="eastAsia" w:ascii="宋体" w:hAnsi="宋体" w:eastAsia="宋体" w:cs="宋体"/>
          <w:color w:val="000000"/>
          <w:sz w:val="21"/>
          <w:szCs w:val="21"/>
        </w:rPr>
        <w:t xml:space="preserve">本授权委托书声明：我</w:t>
      </w:r>
      <w:r>
        <w:rPr>
          <w:rFonts w:hint="eastAsia" w:ascii="宋体" w:hAnsi="宋体" w:eastAsia="宋体" w:cs="宋体"/>
          <w:color w:val="000000"/>
          <w:sz w:val="21"/>
          <w:szCs w:val="21"/>
          <w:u w:val="single"/>
        </w:rPr>
        <w:t xml:space="preserve">（姓名）</w:t>
      </w:r>
      <w:r>
        <w:rPr>
          <w:rFonts w:hint="eastAsia" w:ascii="宋体" w:hAnsi="宋体" w:eastAsia="宋体" w:cs="宋体"/>
          <w:color w:val="000000"/>
          <w:sz w:val="21"/>
          <w:szCs w:val="21"/>
        </w:rPr>
        <w:t xml:space="preserve">系</w:t>
      </w:r>
      <w:r>
        <w:rPr>
          <w:rFonts w:hint="eastAsia" w:ascii="宋体" w:hAnsi="宋体" w:eastAsia="宋体" w:cs="宋体"/>
          <w:color w:val="000000"/>
          <w:sz w:val="21"/>
          <w:szCs w:val="21"/>
          <w:u w:val="single"/>
        </w:rPr>
        <w:t xml:space="preserve">（供应商名称）</w:t>
      </w:r>
      <w:r>
        <w:rPr>
          <w:rFonts w:hint="eastAsia" w:ascii="宋体" w:hAnsi="宋体" w:eastAsia="宋体" w:cs="宋体"/>
          <w:color w:val="000000"/>
          <w:sz w:val="21"/>
          <w:szCs w:val="21"/>
        </w:rPr>
        <w:t xml:space="preserve">的法定代表人，现授权委托</w:t>
      </w:r>
      <w:r>
        <w:rPr>
          <w:rFonts w:hint="eastAsia" w:ascii="宋体" w:hAnsi="宋体" w:eastAsia="宋体" w:cs="宋体"/>
          <w:color w:val="000000"/>
          <w:sz w:val="21"/>
          <w:szCs w:val="21"/>
          <w:u w:val="single"/>
        </w:rPr>
        <w:t xml:space="preserve">（供应商名称）</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u w:val="single"/>
        </w:rPr>
        <w:t xml:space="preserve">（姓名）</w:t>
      </w:r>
      <w:r>
        <w:rPr>
          <w:rFonts w:hint="eastAsia" w:ascii="宋体" w:hAnsi="宋体" w:eastAsia="宋体" w:cs="宋体"/>
          <w:color w:val="000000"/>
          <w:sz w:val="21"/>
          <w:szCs w:val="21"/>
        </w:rPr>
        <w:t xml:space="preserve">为我公司代理人，以本公司的名义参加</w:t>
      </w:r>
      <w:r>
        <w:rPr>
          <w:rFonts w:hint="eastAsia" w:ascii="宋体" w:hAnsi="宋体" w:eastAsia="宋体" w:cs="宋体"/>
          <w:color w:val="000000"/>
          <w:sz w:val="21"/>
          <w:szCs w:val="21"/>
          <w:u w:val="single"/>
        </w:rPr>
        <w:t xml:space="preserve">苏州欣禾诚工程咨询服务有限公司</w:t>
      </w:r>
      <w:r>
        <w:rPr>
          <w:rFonts w:hint="eastAsia" w:ascii="宋体" w:hAnsi="宋体" w:eastAsia="宋体" w:cs="宋体"/>
          <w:color w:val="000000"/>
          <w:sz w:val="21"/>
          <w:szCs w:val="21"/>
        </w:rPr>
        <w:t xml:space="preserve">组织实施的编号为</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号的招标活动。代理人在</w:t>
      </w:r>
      <w:r>
        <w:rPr>
          <w:rFonts w:hint="eastAsia" w:ascii="宋体" w:hAnsi="宋体" w:eastAsia="宋体" w:cs="宋体"/>
          <w:color w:val="000000"/>
          <w:sz w:val="21"/>
        </w:rPr>
        <w:t xml:space="preserve">投标报名、制作投标文件、</w:t>
      </w:r>
      <w:r>
        <w:rPr>
          <w:rFonts w:hint="eastAsia" w:ascii="宋体" w:hAnsi="宋体" w:eastAsia="宋体" w:cs="宋体"/>
          <w:color w:val="000000"/>
          <w:sz w:val="21"/>
          <w:szCs w:val="21"/>
        </w:rPr>
        <w:t xml:space="preserve">开标、评标、合同谈判过程中所签署的一切文件和处理与这有关的一切事务，我均予以承认。</w:t>
      </w:r>
      <w:r>
        <w:rPr>
          <w:rFonts w:ascii="宋体" w:hAnsi="宋体" w:cs="宋体"/>
        </w:rPr>
      </w:r>
      <w:r/>
    </w:p>
    <w:p>
      <w:pPr>
        <w:pStyle w:val="859"/>
        <w:ind w:left="211" w:firstLine="434"/>
        <w:spacing w:line="520" w:lineRule="exact"/>
        <w:rPr>
          <w:rFonts w:ascii="宋体" w:hAnsi="宋体" w:cs="宋体"/>
          <w:color w:val="000000"/>
          <w:sz w:val="21"/>
          <w:szCs w:val="21"/>
        </w:rPr>
      </w:pPr>
      <w:r>
        <w:rPr>
          <w:rFonts w:hint="eastAsia" w:ascii="宋体" w:hAnsi="宋体" w:eastAsia="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rPr>
          <w:rFonts w:ascii="宋体" w:hAnsi="宋体" w:cs="宋体"/>
        </w:rPr>
      </w:r>
      <w:r/>
    </w:p>
    <w:p>
      <w:pPr>
        <w:pStyle w:val="859"/>
        <w:ind w:firstLine="644"/>
        <w:spacing w:line="520" w:lineRule="exact"/>
        <w:rPr>
          <w:rFonts w:ascii="宋体" w:hAnsi="宋体" w:cs="宋体"/>
          <w:color w:val="000000"/>
          <w:sz w:val="21"/>
          <w:szCs w:val="21"/>
        </w:rPr>
      </w:pPr>
      <w:r>
        <w:rPr>
          <w:rFonts w:hint="eastAsia" w:ascii="宋体" w:hAnsi="宋体" w:eastAsia="宋体" w:cs="宋体"/>
          <w:color w:val="000000"/>
          <w:sz w:val="21"/>
          <w:szCs w:val="21"/>
        </w:rPr>
        <w:t xml:space="preserve">代理人无转让委托权。</w:t>
      </w:r>
      <w:r>
        <w:rPr>
          <w:rFonts w:ascii="宋体" w:hAnsi="宋体" w:cs="宋体"/>
        </w:rPr>
      </w:r>
      <w:r/>
    </w:p>
    <w:p>
      <w:pPr>
        <w:pStyle w:val="859"/>
        <w:ind w:firstLine="644"/>
        <w:spacing w:line="520" w:lineRule="exact"/>
        <w:rPr>
          <w:rFonts w:ascii="宋体" w:hAnsi="宋体" w:cs="宋体"/>
          <w:color w:val="000000"/>
          <w:sz w:val="21"/>
          <w:szCs w:val="21"/>
        </w:rPr>
      </w:pPr>
      <w:r>
        <w:rPr>
          <w:rFonts w:hint="eastAsia" w:ascii="宋体" w:hAnsi="宋体" w:eastAsia="宋体" w:cs="宋体"/>
          <w:color w:val="000000"/>
          <w:sz w:val="21"/>
          <w:szCs w:val="21"/>
        </w:rPr>
        <w:t xml:space="preserve">特此委托。</w:t>
      </w:r>
      <w:r>
        <w:rPr>
          <w:rFonts w:ascii="宋体" w:hAnsi="宋体" w:cs="宋体"/>
        </w:rPr>
      </w:r>
      <w:r/>
    </w:p>
    <w:p>
      <w:pPr>
        <w:pStyle w:val="859"/>
        <w:ind w:firstLine="435"/>
        <w:spacing w:line="440" w:lineRule="exact"/>
        <w:tabs>
          <w:tab w:val="left" w:pos="7305" w:leader="none"/>
        </w:tabs>
        <w:rPr>
          <w:rFonts w:hint="eastAsia" w:ascii="宋体" w:hAnsi="宋体" w:cs="宋体"/>
          <w:color w:val="000000"/>
          <w:sz w:val="21"/>
          <w:szCs w:val="21"/>
        </w:rPr>
      </w:pPr>
      <w:r>
        <w:rPr>
          <w:rFonts w:hint="eastAsia" w:ascii="宋体" w:hAnsi="宋体" w:cs="宋体"/>
          <w:color w:val="000000"/>
          <w:sz w:val="21"/>
          <w:szCs w:val="21"/>
        </w:rPr>
        <w:tab/>
      </w:r>
      <w:r>
        <w:rPr>
          <w:rFonts w:ascii="宋体" w:hAnsi="宋体" w:cs="宋体"/>
        </w:rPr>
      </w:r>
      <w:r/>
    </w:p>
    <w:p>
      <w:pPr>
        <w:pStyle w:val="859"/>
        <w:ind w:firstLine="435"/>
        <w:spacing w:line="44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59"/>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供应商：（盖章）</w:t>
      </w:r>
      <w:r>
        <w:rPr>
          <w:rFonts w:ascii="宋体" w:hAnsi="宋体" w:cs="宋体"/>
        </w:rPr>
      </w:r>
      <w:r/>
    </w:p>
    <w:p>
      <w:pPr>
        <w:pStyle w:val="859"/>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法定代表人：（签字或盖章）</w:t>
      </w:r>
      <w:r>
        <w:rPr>
          <w:rFonts w:ascii="宋体" w:hAnsi="宋体" w:cs="宋体"/>
        </w:rPr>
      </w:r>
      <w:r/>
    </w:p>
    <w:p>
      <w:pPr>
        <w:pStyle w:val="859"/>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代理人：（签字或盖章）</w:t>
      </w:r>
      <w:r>
        <w:rPr>
          <w:rFonts w:ascii="宋体" w:hAnsi="宋体" w:cs="宋体"/>
        </w:rPr>
      </w:r>
      <w:r/>
    </w:p>
    <w:p>
      <w:pPr>
        <w:pStyle w:val="859"/>
        <w:ind w:right="480"/>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日期：     </w:t>
      </w:r>
      <w:r>
        <w:rPr>
          <w:rFonts w:hint="eastAsia" w:ascii="宋体" w:hAnsi="宋体" w:eastAsia="宋体" w:cs="宋体"/>
          <w:color w:val="000000"/>
          <w:sz w:val="21"/>
          <w:szCs w:val="21"/>
        </w:rPr>
        <w:t xml:space="preserve">年   </w:t>
      </w:r>
      <w:r>
        <w:rPr>
          <w:rFonts w:ascii="宋体" w:hAnsi="宋体" w:cs="宋体"/>
          <w:color w:val="000000"/>
          <w:sz w:val="21"/>
          <w:szCs w:val="21"/>
        </w:rPr>
        <w:t xml:space="preserve">  </w:t>
      </w:r>
      <w:r>
        <w:rPr>
          <w:rFonts w:hint="eastAsia" w:ascii="宋体" w:hAnsi="宋体" w:eastAsia="宋体" w:cs="宋体"/>
          <w:color w:val="000000"/>
          <w:sz w:val="21"/>
          <w:szCs w:val="21"/>
        </w:rPr>
        <w:t xml:space="preserve">月   </w:t>
      </w:r>
      <w:r>
        <w:rPr>
          <w:rFonts w:ascii="宋体" w:hAnsi="宋体" w:cs="宋体"/>
          <w:color w:val="000000"/>
          <w:sz w:val="21"/>
          <w:szCs w:val="21"/>
        </w:rPr>
        <w:t xml:space="preserve">  </w:t>
      </w:r>
      <w:r>
        <w:rPr>
          <w:rFonts w:hint="eastAsia" w:ascii="宋体" w:hAnsi="宋体" w:eastAsia="宋体" w:cs="宋体"/>
          <w:color w:val="000000"/>
          <w:sz w:val="21"/>
          <w:szCs w:val="21"/>
        </w:rPr>
        <w:t xml:space="preserve">日</w:t>
      </w:r>
      <w:r>
        <w:rPr>
          <w:rFonts w:ascii="宋体" w:hAnsi="宋体" w:cs="宋体"/>
        </w:rPr>
      </w:r>
      <w:r/>
    </w:p>
    <w:p>
      <w:pPr>
        <w:pStyle w:val="859"/>
        <w:ind w:firstLine="435"/>
        <w:spacing w:line="44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7"/>
        <w:ind w:firstLine="0"/>
        <w:spacing w:line="440" w:lineRule="exact"/>
        <w:rPr>
          <w:rFonts w:ascii="宋体" w:hAnsi="宋体" w:cs="宋体"/>
          <w:b/>
          <w:bCs/>
          <w:color w:val="000000"/>
          <w:sz w:val="21"/>
          <w:szCs w:val="21"/>
        </w:rPr>
      </w:pPr>
      <w:r>
        <w:rPr>
          <w:rFonts w:hint="eastAsia" w:ascii="宋体" w:hAnsi="宋体" w:eastAsia="宋体" w:cs="宋体"/>
          <w:b/>
          <w:bCs/>
          <w:color w:val="000000"/>
          <w:sz w:val="21"/>
          <w:szCs w:val="21"/>
        </w:rPr>
        <w:t xml:space="preserve">注：须单位签章、法定代表人签字或盖章、代理人签字或盖章三者齐全，否则该授权委托书无效。</w:t>
      </w:r>
      <w:r>
        <w:rPr>
          <w:rFonts w:ascii="宋体" w:hAnsi="宋体" w:cs="宋体"/>
        </w:rPr>
      </w:r>
      <w:r/>
    </w:p>
    <w:p>
      <w:pPr>
        <w:pStyle w:val="877"/>
        <w:ind w:firstLine="0"/>
        <w:rPr>
          <w:rFonts w:ascii="宋体" w:hAnsi="宋体" w:cs="宋体"/>
          <w:color w:val="000000"/>
          <w:sz w:val="21"/>
          <w:szCs w:val="21"/>
        </w:rPr>
      </w:pPr>
      <w:r>
        <w:rPr>
          <w:rFonts w:ascii="宋体" w:hAnsi="宋体" w:eastAsia="宋体" w:cs="宋体"/>
          <w:b/>
          <w:bCs/>
          <w:color w:val="000000"/>
        </w:rPr>
        <w:br w:type="page" w:clear="all"/>
      </w:r>
      <w:r>
        <w:rPr>
          <w:rFonts w:hint="eastAsia" w:ascii="宋体" w:hAnsi="宋体" w:eastAsia="宋体" w:cs="宋体"/>
          <w:b/>
          <w:bCs/>
          <w:color w:val="000000"/>
          <w:sz w:val="21"/>
          <w:szCs w:val="21"/>
        </w:rPr>
        <w:t xml:space="preserve">附件</w:t>
      </w:r>
      <w:r>
        <w:rPr>
          <w:rFonts w:ascii="宋体" w:hAnsi="宋体" w:eastAsia="宋体" w:cs="宋体"/>
          <w:b/>
          <w:bCs/>
          <w:color w:val="000000"/>
          <w:sz w:val="21"/>
          <w:szCs w:val="21"/>
        </w:rPr>
        <w:t xml:space="preserve">2</w:t>
      </w:r>
      <w:r>
        <w:rPr>
          <w:rFonts w:hint="eastAsia" w:ascii="宋体" w:hAnsi="宋体" w:eastAsia="宋体" w:cs="宋体"/>
          <w:b/>
          <w:bCs/>
          <w:color w:val="000000"/>
          <w:sz w:val="21"/>
          <w:szCs w:val="21"/>
        </w:rPr>
        <w:t xml:space="preserve">、投标函</w:t>
      </w:r>
      <w:r>
        <w:rPr>
          <w:rFonts w:ascii="宋体" w:hAnsi="宋体" w:cs="宋体"/>
        </w:rPr>
      </w:r>
      <w:r/>
    </w:p>
    <w:p>
      <w:pPr>
        <w:pStyle w:val="859"/>
        <w:jc w:val="center"/>
        <w:spacing w:line="400" w:lineRule="exact"/>
        <w:rPr>
          <w:rFonts w:ascii="宋体" w:hAnsi="宋体" w:cs="宋体"/>
          <w:b/>
          <w:color w:val="000000"/>
          <w:sz w:val="21"/>
          <w:szCs w:val="21"/>
        </w:rPr>
      </w:pPr>
      <w:r>
        <w:rPr>
          <w:rFonts w:hint="eastAsia" w:ascii="宋体" w:hAnsi="宋体" w:eastAsia="宋体" w:cs="宋体"/>
          <w:b/>
          <w:color w:val="000000"/>
          <w:sz w:val="21"/>
          <w:szCs w:val="21"/>
        </w:rPr>
        <w:t xml:space="preserve">投标函</w:t>
      </w:r>
      <w:r>
        <w:rPr>
          <w:rFonts w:ascii="宋体" w:hAnsi="宋体" w:cs="宋体"/>
        </w:rPr>
      </w:r>
      <w:r/>
    </w:p>
    <w:p>
      <w:pPr>
        <w:pStyle w:val="859"/>
        <w:spacing w:line="440" w:lineRule="exact"/>
        <w:rPr>
          <w:rFonts w:hint="eastAsia" w:ascii="宋体" w:hAnsi="宋体" w:cs="宋体"/>
          <w:color w:val="000000"/>
          <w:sz w:val="21"/>
          <w:szCs w:val="21"/>
        </w:rPr>
      </w:pPr>
      <w:r>
        <w:rPr>
          <w:rFonts w:hint="eastAsia" w:ascii="宋体" w:hAnsi="宋体" w:eastAsia="宋体" w:cs="宋体"/>
          <w:color w:val="000000"/>
          <w:sz w:val="21"/>
          <w:szCs w:val="21"/>
          <w:u w:val="single"/>
        </w:rPr>
        <w:t xml:space="preserve">苏州欣禾诚工程咨询服务有限公司</w:t>
      </w:r>
      <w:r>
        <w:rPr>
          <w:rFonts w:hint="eastAsia" w:ascii="宋体" w:hAnsi="宋体" w:eastAsia="宋体" w:cs="宋体"/>
          <w:color w:val="000000"/>
          <w:sz w:val="21"/>
          <w:szCs w:val="21"/>
        </w:rPr>
        <w:t xml:space="preserve">：</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我们收到贵公司</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号招标文件，经仔细阅读和研究，我们决定参加投标。</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我们愿意按照招标文件的一切要求，投标报价包含完成本项目所需全部费用。我们保证中标后不会对中标价格提出任何异议，更不会以任何理由要求采购单位针对中标范围的价款要求额外补偿。不会以不了解招标文件、合同文件为由或曲解、片面理解招标文件、合同文件或割裂招标文件、合同文件，断章取义，向采购单位提出任何补偿要求。</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2、如果我们的投标书被接受，我们将严格履行招标文件中规定的每一项要求，按期、按质、按量履行合同的义务。</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3、我们同意按招标文件中的规定，本投标书的有效期限为提交投标文件的截止之日起</w:t>
      </w:r>
      <w:r>
        <w:rPr>
          <w:rFonts w:hint="eastAsia" w:ascii="宋体" w:hAnsi="宋体" w:cs="宋体"/>
          <w:color w:val="000000"/>
          <w:sz w:val="21"/>
          <w:szCs w:val="21"/>
          <w:u w:val="single"/>
        </w:rPr>
        <w:t xml:space="preserve"> 90 </w:t>
      </w:r>
      <w:r>
        <w:rPr>
          <w:rFonts w:hint="eastAsia" w:ascii="宋体" w:hAnsi="宋体" w:eastAsia="宋体" w:cs="宋体"/>
          <w:color w:val="000000"/>
          <w:sz w:val="21"/>
          <w:szCs w:val="21"/>
        </w:rPr>
        <w:t xml:space="preserve">天。</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4、我们愿意提供招标代理机构在招标文件中要求的所有资料</w:t>
      </w:r>
      <w:r>
        <w:rPr>
          <w:rFonts w:hint="eastAsia" w:ascii="宋体" w:hAnsi="宋体" w:eastAsia="宋体" w:cs="宋体"/>
          <w:color w:val="000000"/>
          <w:sz w:val="21"/>
          <w:szCs w:val="21"/>
          <w:lang w:val="zh-CN"/>
        </w:rPr>
        <w:t xml:space="preserve">，也同意向贵方提供贵方可能另外要求的与其投标有关的任何证据或资料。</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5、我们愿意遵守招标通告及招标文件中所列的收费标准。</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6、我们承诺该项投标在开标后的全过程中保持有效，不作任何更改和变动。</w:t>
      </w:r>
      <w:r>
        <w:rPr>
          <w:rFonts w:hint="eastAsia" w:ascii="宋体" w:hAnsi="宋体" w:eastAsia="宋体" w:cs="宋体"/>
          <w:color w:val="000000"/>
          <w:sz w:val="21"/>
          <w:szCs w:val="21"/>
          <w:lang w:val="zh-CN"/>
        </w:rPr>
        <w:t xml:space="preserve">我们同意</w:t>
      </w:r>
      <w:r>
        <w:rPr>
          <w:rFonts w:hint="eastAsia" w:ascii="宋体" w:hAnsi="宋体" w:eastAsia="宋体" w:cs="宋体"/>
          <w:color w:val="000000"/>
          <w:sz w:val="21"/>
          <w:szCs w:val="21"/>
        </w:rPr>
        <w:t xml:space="preserve">中标</w:t>
      </w:r>
      <w:r>
        <w:rPr>
          <w:rFonts w:hint="eastAsia" w:ascii="宋体" w:hAnsi="宋体" w:eastAsia="宋体" w:cs="宋体"/>
          <w:color w:val="000000"/>
          <w:sz w:val="21"/>
          <w:szCs w:val="21"/>
          <w:lang w:val="zh-CN"/>
        </w:rPr>
        <w:t xml:space="preserve">后若不履行投标文件的内容要求和各项承诺及义务的即被视为违约，其</w:t>
      </w:r>
      <w:r>
        <w:rPr>
          <w:rFonts w:hint="eastAsia" w:ascii="宋体" w:hAnsi="宋体" w:eastAsia="宋体" w:cs="宋体"/>
          <w:color w:val="000000"/>
          <w:sz w:val="21"/>
          <w:szCs w:val="21"/>
        </w:rPr>
        <w:t xml:space="preserve">中标</w:t>
      </w:r>
      <w:r>
        <w:rPr>
          <w:rFonts w:hint="eastAsia" w:ascii="宋体" w:hAnsi="宋体" w:eastAsia="宋体" w:cs="宋体"/>
          <w:color w:val="000000"/>
          <w:sz w:val="21"/>
          <w:szCs w:val="21"/>
          <w:lang w:val="zh-CN"/>
        </w:rPr>
        <w:t xml:space="preserve">资格将被取消。</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7、如果我们中标，我们愿意按招标文件要求支付中标服务费</w:t>
      </w:r>
      <w:r>
        <w:rPr>
          <w:rFonts w:hint="eastAsia" w:ascii="宋体" w:hAnsi="宋体" w:eastAsia="宋体" w:cs="宋体"/>
          <w:color w:val="000000"/>
          <w:sz w:val="21"/>
          <w:szCs w:val="21"/>
          <w:lang w:val="zh-CN"/>
        </w:rPr>
        <w:t xml:space="preserve">，逾期按中国人民银行公布的同期人民币贷款最高利率计付利息</w:t>
      </w:r>
      <w:r>
        <w:rPr>
          <w:rFonts w:hint="eastAsia" w:ascii="宋体" w:hAnsi="宋体" w:eastAsia="宋体" w:cs="宋体"/>
          <w:color w:val="000000"/>
          <w:sz w:val="21"/>
          <w:szCs w:val="21"/>
        </w:rPr>
        <w:t xml:space="preserve">。</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eastAsia="宋体" w:cs="宋体"/>
          <w:color w:val="000000"/>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9、我们愿意按照《中华人民共和国民法典》履行自己应该承担的全部责任。</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10、综合说明：</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（1）伴随服务及配合措施；                    （2）要求甲方提供的配合；</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（3）对招标文件有不同意见的偏离说明；        （4）其它说明。</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所有有关标书的函电，请按下列地址联系：</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单位：                         联系人：</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地址：                         邮政编码：</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联系电话：                     传真：</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59"/>
        <w:ind w:firstLine="1102"/>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59"/>
        <w:ind w:firstLine="4200"/>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投标方：（单位盖章）</w:t>
      </w:r>
      <w:r>
        <w:rPr>
          <w:rFonts w:ascii="宋体" w:hAnsi="宋体" w:cs="宋体"/>
        </w:rPr>
      </w:r>
      <w:r/>
    </w:p>
    <w:p>
      <w:pPr>
        <w:pStyle w:val="859"/>
        <w:ind w:firstLine="4200"/>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59"/>
        <w:ind w:firstLine="4200"/>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cs="宋体"/>
        </w:rPr>
      </w:r>
      <w:r/>
    </w:p>
    <w:p>
      <w:pPr>
        <w:pStyle w:val="859"/>
        <w:spacing w:line="440" w:lineRule="exact"/>
        <w:rPr>
          <w:rFonts w:ascii="宋体" w:hAnsi="宋体" w:cs="宋体"/>
          <w:b/>
          <w:color w:val="000000"/>
          <w:sz w:val="21"/>
          <w:szCs w:val="21"/>
        </w:rPr>
      </w:pPr>
      <w:r>
        <w:rPr>
          <w:rFonts w:ascii="宋体" w:hAnsi="宋体" w:cs="宋体"/>
          <w:b/>
          <w:bCs/>
          <w:color w:val="000000"/>
        </w:rPr>
        <w:br w:type="page" w:clear="all"/>
      </w:r>
      <w:r>
        <w:rPr>
          <w:rFonts w:hint="eastAsia" w:ascii="宋体" w:hAnsi="宋体" w:eastAsia="宋体" w:cs="宋体"/>
          <w:b/>
          <w:bCs/>
          <w:color w:val="000000"/>
          <w:sz w:val="21"/>
          <w:szCs w:val="21"/>
        </w:rPr>
        <w:t xml:space="preserve">附件</w:t>
      </w:r>
      <w:r>
        <w:rPr>
          <w:rFonts w:ascii="宋体" w:hAnsi="宋体" w:cs="宋体"/>
          <w:b/>
          <w:bCs/>
          <w:color w:val="000000"/>
          <w:sz w:val="21"/>
          <w:szCs w:val="21"/>
        </w:rPr>
        <w:t xml:space="preserve">3</w:t>
      </w:r>
      <w:r>
        <w:rPr>
          <w:rFonts w:hint="eastAsia" w:ascii="宋体" w:hAnsi="宋体" w:eastAsia="宋体" w:cs="宋体"/>
          <w:b/>
          <w:bCs/>
          <w:color w:val="000000"/>
          <w:sz w:val="21"/>
          <w:szCs w:val="21"/>
        </w:rPr>
        <w:t xml:space="preserve">、</w:t>
      </w:r>
      <w:r>
        <w:rPr>
          <w:rFonts w:hint="eastAsia" w:ascii="宋体" w:hAnsi="宋体" w:eastAsia="宋体" w:cs="宋体"/>
          <w:b/>
          <w:color w:val="000000"/>
          <w:sz w:val="21"/>
          <w:szCs w:val="21"/>
        </w:rPr>
        <w:t xml:space="preserve">开标一览表</w:t>
      </w:r>
      <w:bookmarkStart w:id="43" w:name="投标报价表"/>
      <w:r>
        <w:rPr>
          <w:rFonts w:hint="eastAsia" w:ascii="宋体" w:hAnsi="宋体" w:eastAsia="宋体" w:cs="宋体"/>
          <w:b/>
          <w:color w:val="000000"/>
          <w:sz w:val="21"/>
          <w:szCs w:val="21"/>
        </w:rPr>
        <w:t xml:space="preserve">、</w:t>
      </w:r>
      <w:bookmarkEnd w:id="43"/>
      <w:r>
        <w:rPr>
          <w:rFonts w:hint="eastAsia" w:ascii="宋体" w:hAnsi="宋体" w:eastAsia="宋体" w:cs="宋体"/>
          <w:b/>
          <w:color w:val="000000"/>
          <w:sz w:val="21"/>
          <w:szCs w:val="21"/>
          <w:lang w:val="zh-CN"/>
        </w:rPr>
        <w:t xml:space="preserve">公开分项报价表</w:t>
      </w:r>
      <w:r>
        <w:rPr>
          <w:rFonts w:ascii="宋体" w:hAnsi="宋体" w:cs="宋体"/>
        </w:rPr>
      </w:r>
      <w:r/>
    </w:p>
    <w:p>
      <w:pPr>
        <w:pStyle w:val="859"/>
        <w:jc w:val="center"/>
        <w:spacing w:line="440" w:lineRule="exact"/>
        <w:rPr>
          <w:rFonts w:ascii="宋体" w:hAnsi="宋体" w:cs="宋体"/>
          <w:b/>
          <w:color w:val="000000"/>
          <w:sz w:val="21"/>
          <w:szCs w:val="21"/>
        </w:rPr>
      </w:pPr>
      <w:r>
        <w:rPr>
          <w:rFonts w:hint="eastAsia" w:ascii="宋体" w:hAnsi="宋体" w:eastAsia="宋体" w:cs="宋体"/>
          <w:b/>
          <w:color w:val="000000"/>
          <w:sz w:val="21"/>
          <w:szCs w:val="21"/>
        </w:rPr>
        <w:t xml:space="preserve">开标一览表（格式）</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24"/>
        <w:gridCol w:w="8894"/>
      </w:tblGrid>
      <w:tr>
        <w:trPr>
          <w:trHeight w:val="633"/>
        </w:trPr>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859"/>
              <w:contextualSpacing w:val="0"/>
              <w:jc w:val="center"/>
              <w:spacing w:before="283" w:after="0" w:line="360" w:lineRule="auto"/>
              <w:widowControl/>
              <w:rPr>
                <w:rFonts w:ascii="宋体" w:hAnsi="宋体" w:cs="宋体"/>
                <w:color w:val="000000"/>
                <w:szCs w:val="21"/>
              </w:rPr>
              <w:suppressLineNumbers w:val="0"/>
            </w:pPr>
            <w:r>
              <w:rPr>
                <w:rFonts w:hint="eastAsia" w:ascii="宋体" w:hAnsi="宋体" w:eastAsia="宋体" w:cs="宋体"/>
                <w:color w:val="000000"/>
                <w:sz w:val="21"/>
                <w:szCs w:val="21"/>
              </w:rPr>
              <w:t xml:space="preserve">项目名称</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94" w:type="dxa"/>
            <w:vAlign w:val="center"/>
            <w:textDirection w:val="lrTb"/>
            <w:noWrap w:val="false"/>
          </w:tcPr>
          <w:p>
            <w:pPr>
              <w:pStyle w:val="859"/>
              <w:contextualSpacing w:val="0"/>
              <w:jc w:val="center"/>
              <w:spacing w:before="283" w:after="0" w:line="360" w:lineRule="auto"/>
              <w:widowControl/>
              <w:rPr>
                <w:rFonts w:hint="eastAsia" w:ascii="宋体" w:hAnsi="宋体" w:cs="宋体"/>
                <w:color w:val="000000"/>
                <w:szCs w:val="21"/>
              </w:rPr>
              <w:suppressLineNumbers w:val="0"/>
            </w:pPr>
            <w:r>
              <w:rPr>
                <w:rFonts w:hint="eastAsia" w:ascii="宋体" w:hAnsi="宋体" w:eastAsia="宋体" w:cs="宋体"/>
                <w:color w:val="000000"/>
                <w:sz w:val="21"/>
                <w:szCs w:val="21"/>
              </w:rPr>
              <w:t xml:space="preserve">230省道吴江收费站、258省道桃源收费站财政电子票据改革收费系统改造项目</w:t>
            </w:r>
            <w:r>
              <w:rPr>
                <w:rFonts w:ascii="宋体" w:hAnsi="宋体" w:cs="宋体"/>
              </w:rPr>
            </w:r>
            <w:r/>
          </w:p>
        </w:tc>
      </w:tr>
      <w:tr>
        <w:trPr>
          <w:trHeight w:val="651"/>
        </w:trPr>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859"/>
              <w:contextualSpacing w:val="0"/>
              <w:jc w:val="center"/>
              <w:spacing w:before="283" w:after="0" w:line="360" w:lineRule="auto"/>
              <w:widowControl/>
              <w:rPr>
                <w:rFonts w:ascii="宋体" w:hAnsi="宋体" w:cs="宋体"/>
                <w:color w:val="000000"/>
                <w:szCs w:val="21"/>
              </w:rPr>
              <w:suppressLineNumbers w:val="0"/>
            </w:pPr>
            <w:r>
              <w:rPr>
                <w:rFonts w:hint="eastAsia" w:ascii="宋体" w:hAnsi="宋体" w:eastAsia="宋体" w:cs="宋体"/>
                <w:color w:val="000000"/>
                <w:sz w:val="21"/>
                <w:szCs w:val="21"/>
              </w:rPr>
              <w:t xml:space="preserve">招标编号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94" w:type="dxa"/>
            <w:vAlign w:val="center"/>
            <w:textDirection w:val="lrTb"/>
            <w:noWrap w:val="false"/>
          </w:tcPr>
          <w:p>
            <w:pPr>
              <w:pStyle w:val="859"/>
              <w:contextualSpacing w:val="0"/>
              <w:jc w:val="center"/>
              <w:spacing w:before="283" w:after="0" w:line="360" w:lineRule="auto"/>
              <w:widowControl/>
              <w:rPr>
                <w:rFonts w:hint="eastAsia" w:ascii="宋体" w:hAnsi="宋体" w:cs="宋体"/>
                <w:color w:val="000000"/>
                <w:szCs w:val="21"/>
              </w:rPr>
              <w:suppressLineNumbers w:val="0"/>
            </w:pPr>
            <w:r>
              <w:rPr>
                <w:rFonts w:hint="eastAsia" w:ascii="宋体" w:hAnsi="宋体" w:cs="宋体"/>
                <w:color w:val="000000"/>
                <w:sz w:val="21"/>
                <w:szCs w:val="21"/>
                <w:lang w:eastAsia="zh-CN"/>
              </w:rPr>
              <w:t xml:space="preserve">JSZC-320509-SXHC-G2025-0023</w:t>
            </w:r>
            <w:r>
              <w:rPr>
                <w:rFonts w:ascii="宋体" w:hAnsi="宋体" w:cs="宋体"/>
              </w:rPr>
            </w:r>
            <w:r/>
          </w:p>
        </w:tc>
      </w:tr>
      <w:tr>
        <w:trPr>
          <w:trHeight w:val="702"/>
        </w:trPr>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859"/>
              <w:contextualSpacing w:val="0"/>
              <w:jc w:val="center"/>
              <w:spacing w:before="283" w:after="0" w:line="360" w:lineRule="auto"/>
              <w:widowControl/>
              <w:rPr>
                <w:rFonts w:ascii="宋体" w:hAnsi="宋体" w:cs="宋体"/>
                <w:color w:val="000000"/>
                <w:szCs w:val="21"/>
              </w:rPr>
              <w:suppressLineNumbers w:val="0"/>
            </w:pPr>
            <w:r>
              <w:rPr>
                <w:rFonts w:hint="eastAsia" w:ascii="宋体" w:hAnsi="宋体" w:eastAsia="宋体" w:cs="宋体"/>
                <w:color w:val="000000"/>
                <w:sz w:val="21"/>
                <w:szCs w:val="21"/>
              </w:rPr>
              <w:t xml:space="preserve">投标总价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94" w:type="dxa"/>
            <w:vAlign w:val="center"/>
            <w:textDirection w:val="lrTb"/>
            <w:noWrap w:val="false"/>
          </w:tcPr>
          <w:p>
            <w:pPr>
              <w:pStyle w:val="859"/>
              <w:contextualSpacing w:val="0"/>
              <w:ind w:firstLine="630"/>
              <w:jc w:val="left"/>
              <w:spacing w:before="283" w:after="0" w:line="360" w:lineRule="auto"/>
              <w:widowControl/>
              <w:rPr>
                <w:rFonts w:ascii="宋体" w:hAnsi="宋体" w:cs="宋体"/>
                <w:color w:val="000000"/>
                <w:szCs w:val="21"/>
              </w:rPr>
              <w:suppressLineNumbers w:val="0"/>
            </w:pPr>
            <w:r>
              <w:rPr>
                <w:rFonts w:hint="eastAsia" w:ascii="宋体" w:hAnsi="宋体" w:eastAsia="宋体" w:cs="宋体"/>
                <w:color w:val="000000"/>
                <w:sz w:val="21"/>
                <w:szCs w:val="21"/>
              </w:rPr>
              <w:t xml:space="preserve">（大写）人民币</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hint="eastAsia" w:ascii="宋体" w:hAnsi="宋体" w:eastAsia="宋体" w:cs="宋体"/>
                <w:color w:val="000000"/>
                <w:sz w:val="21"/>
                <w:szCs w:val="21"/>
              </w:rPr>
              <w:t xml:space="preserve">元</w:t>
            </w:r>
            <w:r>
              <w:rPr>
                <w:rFonts w:ascii="宋体" w:hAnsi="宋体" w:cs="宋体"/>
                <w:color w:val="000000"/>
                <w:sz w:val="21"/>
                <w:szCs w:val="21"/>
              </w:rPr>
              <w:t xml:space="preserve">               </w:t>
            </w:r>
            <w:r>
              <w:rPr>
                <w:rFonts w:hint="eastAsia" w:ascii="宋体" w:hAnsi="宋体" w:eastAsia="宋体" w:cs="宋体"/>
                <w:color w:val="000000"/>
                <w:sz w:val="21"/>
                <w:szCs w:val="21"/>
              </w:rPr>
              <w:t xml:space="preserve">（小写）¥</w:t>
            </w:r>
            <w:r>
              <w:rPr>
                <w:rFonts w:ascii="宋体" w:hAnsi="宋体" w:cs="宋体"/>
                <w:color w:val="000000"/>
                <w:sz w:val="21"/>
                <w:szCs w:val="21"/>
                <w:u w:val="single"/>
              </w:rPr>
              <w:t xml:space="preserve">         </w:t>
            </w:r>
            <w:r>
              <w:rPr>
                <w:rFonts w:ascii="宋体" w:hAnsi="宋体" w:cs="宋体"/>
              </w:rPr>
            </w:r>
            <w:r/>
          </w:p>
        </w:tc>
      </w:tr>
    </w:tbl>
    <w:p>
      <w:pPr>
        <w:pStyle w:val="1060"/>
        <w:ind w:firstLine="480"/>
        <w:rPr>
          <w:rFonts w:hint="eastAsia" w:ascii="宋体" w:hAnsi="宋体" w:cs="宋体"/>
          <w:color w:val="000000"/>
        </w:rPr>
      </w:pPr>
      <w:r>
        <w:rPr>
          <w:rFonts w:hint="eastAsia" w:ascii="宋体" w:hAnsi="宋体" w:cs="宋体"/>
          <w:color w:val="000000"/>
        </w:rPr>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59"/>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投标方：（单位盖章）</w:t>
      </w:r>
      <w:r>
        <w:rPr>
          <w:rFonts w:ascii="宋体" w:hAnsi="宋体" w:cs="宋体"/>
        </w:rPr>
      </w:r>
      <w:r/>
    </w:p>
    <w:p>
      <w:pPr>
        <w:pStyle w:val="859"/>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59"/>
        <w:spacing w:line="440" w:lineRule="exact"/>
        <w:rPr>
          <w:rFonts w:ascii="宋体" w:hAnsi="宋体" w:cs="宋体"/>
          <w:b/>
          <w:bCs/>
          <w:color w:val="000000"/>
          <w:sz w:val="21"/>
          <w:szCs w:val="21"/>
        </w:rPr>
      </w:pPr>
      <w:r>
        <w:rPr>
          <w:rFonts w:hint="eastAsia" w:ascii="宋体" w:hAnsi="宋体" w:eastAsia="宋体" w:cs="宋体"/>
          <w:color w:val="000000"/>
          <w:sz w:val="21"/>
          <w:szCs w:val="21"/>
        </w:rPr>
        <w:t xml:space="preserve">日期：    年    月    日</w:t>
      </w:r>
      <w:r>
        <w:rPr>
          <w:rFonts w:ascii="宋体" w:hAnsi="宋体" w:cs="宋体"/>
        </w:rPr>
      </w:r>
      <w:r/>
    </w:p>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hint="eastAsia" w:ascii="宋体" w:hAnsi="宋体" w:cs="宋体"/>
          <w:color w:val="000000"/>
        </w:rPr>
      </w:pPr>
      <w:r>
        <w:rPr>
          <w:rFonts w:hint="eastAsia" w:ascii="宋体" w:hAnsi="宋体" w:cs="宋体"/>
          <w:color w:val="000000"/>
        </w:rPr>
      </w:r>
      <w:r>
        <w:rPr>
          <w:rFonts w:ascii="宋体" w:hAnsi="宋体" w:cs="宋体"/>
        </w:rPr>
      </w:r>
      <w:r/>
    </w:p>
    <w:p>
      <w:pPr>
        <w:pStyle w:val="1050"/>
        <w:rPr>
          <w:rFonts w:ascii="宋体" w:hAnsi="宋体" w:cs="宋体"/>
          <w:color w:val="000000"/>
        </w:rPr>
      </w:pPr>
      <w:r>
        <w:rPr>
          <w:rFonts w:ascii="宋体" w:hAnsi="宋体" w:cs="宋体"/>
          <w:color w:val="000000"/>
        </w:rPr>
      </w:r>
      <w:r>
        <w:rPr>
          <w:rFonts w:ascii="宋体" w:hAnsi="宋体" w:cs="宋体"/>
        </w:rPr>
      </w:r>
      <w:r/>
    </w:p>
    <w:p>
      <w:pPr>
        <w:pStyle w:val="1050"/>
        <w:rPr>
          <w:rFonts w:ascii="宋体" w:hAnsi="宋体" w:cs="宋体"/>
          <w:color w:val="000000"/>
        </w:rPr>
      </w:pPr>
      <w:r>
        <w:rPr>
          <w:rFonts w:ascii="宋体" w:hAnsi="宋体" w:cs="宋体"/>
          <w:color w:val="000000"/>
        </w:rPr>
      </w:r>
      <w:r>
        <w:rPr>
          <w:rFonts w:ascii="宋体" w:hAnsi="宋体" w:cs="宋体"/>
        </w:rPr>
      </w:r>
      <w:r/>
    </w:p>
    <w:p>
      <w:pPr>
        <w:pStyle w:val="1050"/>
        <w:rPr>
          <w:rFonts w:ascii="宋体" w:hAnsi="宋体" w:cs="宋体"/>
          <w:color w:val="000000"/>
        </w:rPr>
      </w:pPr>
      <w:r>
        <w:rPr>
          <w:rFonts w:ascii="宋体" w:hAnsi="宋体" w:cs="宋体"/>
          <w:color w:val="000000"/>
        </w:rPr>
      </w:r>
      <w:r>
        <w:rPr>
          <w:rFonts w:ascii="宋体" w:hAnsi="宋体" w:cs="宋体"/>
        </w:rPr>
      </w:r>
      <w:r/>
    </w:p>
    <w:p>
      <w:pPr>
        <w:pStyle w:val="1050"/>
        <w:rPr>
          <w:rFonts w:ascii="宋体" w:hAnsi="宋体" w:cs="宋体"/>
          <w:color w:val="000000"/>
        </w:rPr>
      </w:pPr>
      <w:r>
        <w:rPr>
          <w:rFonts w:ascii="宋体" w:hAnsi="宋体" w:cs="宋体"/>
          <w:color w:val="000000"/>
        </w:rPr>
      </w:r>
      <w:r>
        <w:rPr>
          <w:rFonts w:ascii="宋体" w:hAnsi="宋体" w:cs="宋体"/>
        </w:rPr>
      </w:r>
      <w:r/>
    </w:p>
    <w:p>
      <w:pPr>
        <w:pStyle w:val="1050"/>
        <w:rPr>
          <w:rFonts w:ascii="宋体" w:hAnsi="宋体" w:cs="宋体"/>
          <w:color w:val="000000"/>
        </w:rPr>
      </w:pPr>
      <w:r>
        <w:rPr>
          <w:rFonts w:ascii="宋体" w:hAnsi="宋体" w:cs="宋体"/>
          <w:color w:val="000000"/>
        </w:rPr>
      </w:r>
      <w:r>
        <w:rPr>
          <w:rFonts w:ascii="宋体" w:hAnsi="宋体" w:cs="宋体"/>
        </w:rPr>
      </w:r>
      <w:r/>
    </w:p>
    <w:p>
      <w:pPr>
        <w:pStyle w:val="1050"/>
        <w:rPr>
          <w:rFonts w:ascii="宋体" w:hAnsi="宋体" w:cs="宋体"/>
          <w:color w:val="000000"/>
        </w:rPr>
      </w:pPr>
      <w:r>
        <w:rPr>
          <w:rFonts w:ascii="宋体" w:hAnsi="宋体" w:cs="宋体"/>
          <w:color w:val="000000"/>
        </w:rPr>
      </w:r>
      <w:r>
        <w:rPr>
          <w:rFonts w:ascii="宋体" w:hAnsi="宋体" w:cs="宋体"/>
        </w:rPr>
      </w:r>
      <w:r/>
    </w:p>
    <w:p>
      <w:pPr>
        <w:pStyle w:val="1050"/>
        <w:rPr>
          <w:rFonts w:ascii="宋体" w:hAnsi="宋体" w:cs="宋体"/>
          <w:color w:val="000000"/>
        </w:rPr>
      </w:pPr>
      <w:r>
        <w:rPr>
          <w:rFonts w:ascii="宋体" w:hAnsi="宋体" w:cs="宋体"/>
          <w:color w:val="000000"/>
        </w:rPr>
      </w:r>
      <w:r>
        <w:rPr>
          <w:rFonts w:ascii="宋体" w:hAnsi="宋体" w:cs="宋体"/>
        </w:rPr>
      </w:r>
      <w:r/>
    </w:p>
    <w:p>
      <w:pPr>
        <w:pStyle w:val="1050"/>
        <w:rPr>
          <w:rFonts w:ascii="宋体" w:hAnsi="宋体" w:cs="宋体"/>
          <w:color w:val="000000"/>
        </w:rPr>
      </w:pPr>
      <w:r>
        <w:rPr>
          <w:rFonts w:ascii="宋体" w:hAnsi="宋体" w:cs="宋体"/>
          <w:color w:val="000000"/>
        </w:rPr>
      </w:r>
      <w:r>
        <w:rPr>
          <w:rFonts w:ascii="宋体" w:hAnsi="宋体" w:cs="宋体"/>
        </w:rPr>
      </w:r>
      <w:r/>
    </w:p>
    <w:p>
      <w:pPr>
        <w:pStyle w:val="1050"/>
        <w:rPr>
          <w:rFonts w:ascii="宋体" w:hAnsi="宋体" w:cs="宋体"/>
          <w:color w:val="000000"/>
          <w:szCs w:val="21"/>
        </w:rPr>
      </w:pPr>
      <w:r>
        <w:rPr>
          <w:rFonts w:ascii="宋体" w:hAnsi="宋体" w:cs="宋体"/>
          <w:color w:val="000000"/>
          <w:szCs w:val="21"/>
        </w:rPr>
      </w:r>
      <w:r>
        <w:rPr>
          <w:rFonts w:ascii="宋体" w:hAnsi="宋体" w:cs="宋体"/>
        </w:rPr>
      </w:r>
      <w:r/>
    </w:p>
    <w:p>
      <w:pPr>
        <w:pStyle w:val="1050"/>
        <w:rPr>
          <w:rFonts w:ascii="宋体" w:hAnsi="宋体" w:cs="宋体"/>
          <w:color w:val="000000"/>
        </w:rPr>
      </w:pPr>
      <w:r>
        <w:rPr>
          <w:rFonts w:ascii="宋体" w:hAnsi="宋体" w:cs="宋体"/>
          <w:color w:val="000000"/>
          <w:szCs w:val="21"/>
        </w:rPr>
      </w:r>
      <w:r>
        <w:rPr>
          <w:rFonts w:ascii="宋体" w:hAnsi="宋体" w:cs="宋体"/>
          <w:color w:val="000000"/>
          <w:szCs w:val="21"/>
        </w:rPr>
      </w:r>
      <w:r/>
    </w:p>
    <w:p>
      <w:pPr>
        <w:pStyle w:val="1050"/>
        <w:rPr>
          <w:rFonts w:ascii="宋体" w:hAnsi="宋体" w:cs="宋体"/>
          <w:color w:val="000000"/>
        </w:rPr>
      </w:pPr>
      <w:r>
        <w:rPr>
          <w:rFonts w:ascii="宋体" w:hAnsi="宋体" w:cs="宋体"/>
          <w:color w:val="000000"/>
        </w:rPr>
      </w:r>
      <w:r>
        <w:rPr>
          <w:rFonts w:ascii="宋体" w:hAnsi="宋体" w:cs="宋体"/>
          <w:color w:val="000000"/>
        </w:rPr>
      </w:r>
      <w:r/>
    </w:p>
    <w:p>
      <w:pPr>
        <w:pStyle w:val="1050"/>
        <w:rPr>
          <w:rFonts w:ascii="宋体" w:hAnsi="宋体" w:cs="宋体"/>
          <w:color w:val="000000"/>
        </w:rPr>
      </w:pPr>
      <w:r>
        <w:rPr>
          <w:rFonts w:ascii="宋体" w:hAnsi="宋体" w:cs="宋体"/>
          <w:color w:val="000000"/>
        </w:rPr>
      </w:r>
      <w:r>
        <w:rPr>
          <w:rFonts w:ascii="宋体" w:hAnsi="宋体" w:cs="宋体"/>
          <w:color w:val="000000"/>
        </w:rPr>
      </w:r>
      <w:r/>
    </w:p>
    <w:p>
      <w:pPr>
        <w:pStyle w:val="1050"/>
        <w:rPr>
          <w:rFonts w:ascii="宋体" w:hAnsi="宋体" w:cs="宋体"/>
          <w:color w:val="000000"/>
        </w:rPr>
      </w:pPr>
      <w:r>
        <w:rPr>
          <w:rFonts w:ascii="宋体" w:hAnsi="宋体" w:cs="宋体"/>
          <w:color w:val="000000"/>
        </w:rPr>
      </w:r>
      <w:r>
        <w:rPr>
          <w:rFonts w:ascii="宋体" w:hAnsi="宋体" w:cs="宋体"/>
          <w:color w:val="000000"/>
        </w:rPr>
      </w:r>
      <w:r/>
    </w:p>
    <w:p>
      <w:pPr>
        <w:pStyle w:val="1050"/>
        <w:rPr>
          <w:rFonts w:ascii="宋体" w:hAnsi="宋体" w:cs="宋体"/>
          <w:color w:val="000000"/>
        </w:rPr>
      </w:pPr>
      <w:r>
        <w:rPr>
          <w:rFonts w:ascii="宋体" w:hAnsi="宋体" w:cs="宋体"/>
          <w:color w:val="000000"/>
        </w:rPr>
      </w:r>
      <w:r>
        <w:rPr>
          <w:rFonts w:ascii="宋体" w:hAnsi="宋体" w:cs="宋体"/>
          <w:color w:val="000000"/>
        </w:rPr>
      </w:r>
      <w:r/>
    </w:p>
    <w:p>
      <w:pPr>
        <w:pStyle w:val="1050"/>
        <w:rPr>
          <w:rFonts w:ascii="宋体" w:hAnsi="宋体" w:cs="宋体"/>
          <w:color w:val="000000"/>
        </w:rPr>
      </w:pPr>
      <w:r>
        <w:rPr>
          <w:rFonts w:ascii="宋体" w:hAnsi="宋体" w:cs="宋体"/>
          <w:color w:val="000000"/>
        </w:rPr>
      </w:r>
      <w:r>
        <w:rPr>
          <w:rFonts w:ascii="宋体" w:hAnsi="宋体" w:cs="宋体"/>
          <w:color w:val="000000"/>
        </w:rPr>
      </w:r>
      <w:r/>
    </w:p>
    <w:p>
      <w:pPr>
        <w:pStyle w:val="1050"/>
        <w:rPr>
          <w:rFonts w:ascii="宋体" w:hAnsi="宋体" w:cs="宋体"/>
          <w:color w:val="000000"/>
        </w:rPr>
      </w:pPr>
      <w:r>
        <w:rPr>
          <w:rFonts w:ascii="宋体" w:hAnsi="宋体" w:cs="宋体"/>
          <w:color w:val="000000"/>
          <w:szCs w:val="21"/>
        </w:rPr>
      </w:r>
      <w:r>
        <w:rPr>
          <w:rFonts w:ascii="宋体" w:hAnsi="宋体" w:cs="宋体"/>
        </w:rPr>
      </w:r>
      <w:r/>
    </w:p>
    <w:p>
      <w:pPr>
        <w:pStyle w:val="859"/>
        <w:jc w:val="center"/>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公开分项报价表</w:t>
      </w:r>
      <w:r>
        <w:rPr>
          <w:rFonts w:ascii="宋体" w:hAnsi="宋体" w:cs="宋体"/>
        </w:rPr>
      </w:r>
      <w:r/>
    </w:p>
    <w:p>
      <w:pPr>
        <w:pStyle w:val="859"/>
        <w:jc w:val="center"/>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（格式）</w:t>
      </w:r>
      <w:r>
        <w:rPr>
          <w:rFonts w:ascii="宋体" w:hAnsi="宋体" w:cs="宋体"/>
          <w:color w:val="000000"/>
          <w:sz w:val="21"/>
          <w:szCs w:val="21"/>
        </w:rPr>
        <w:t xml:space="preserve">  </w:t>
      </w:r>
      <w:r>
        <w:rPr>
          <w:rFonts w:ascii="宋体" w:hAnsi="宋体" w:cs="宋体"/>
        </w:rPr>
      </w:r>
      <w:r/>
    </w:p>
    <w:p>
      <w:pPr>
        <w:pStyle w:val="871"/>
        <w:ind w:firstLine="210"/>
        <w:rPr>
          <w:rFonts w:hint="eastAsia" w:ascii="宋体" w:hAnsi="宋体" w:cs="宋体"/>
          <w:color w:val="000000"/>
          <w:sz w:val="21"/>
          <w:szCs w:val="21"/>
        </w:rPr>
      </w:pPr>
      <w:r>
        <w:rPr>
          <w:rFonts w:hint="eastAsia" w:ascii="宋体" w:hAnsi="宋体" w:eastAsia="宋体" w:cs="宋体"/>
          <w:color w:val="000000"/>
          <w:sz w:val="21"/>
          <w:szCs w:val="21"/>
        </w:rPr>
        <w:t xml:space="preserve">投标编号</w:t>
      </w:r>
      <w:r>
        <w:rPr>
          <w:rFonts w:hint="eastAsia" w:ascii="宋体" w:hAnsi="宋体" w:eastAsia="宋体" w:cs="宋体"/>
          <w:b/>
          <w:bCs/>
          <w:color w:val="000000"/>
          <w:sz w:val="21"/>
          <w:szCs w:val="21"/>
        </w:rPr>
        <w:t xml:space="preserve">：</w:t>
      </w:r>
      <w:r>
        <w:rPr>
          <w:rFonts w:hint="eastAsia" w:ascii="宋体" w:hAnsi="宋体" w:cs="宋体"/>
          <w:color w:val="000000"/>
          <w:sz w:val="21"/>
          <w:szCs w:val="21"/>
          <w:lang w:eastAsia="zh-CN"/>
        </w:rPr>
        <w:t xml:space="preserve">JSZC-320509-SXHC-G2025-0023</w:t>
      </w:r>
      <w:r>
        <w:rPr>
          <w:rFonts w:hint="eastAsia" w:ascii="宋体" w:hAnsi="宋体" w:eastAsia="宋体" w:cs="宋体"/>
          <w:color w:val="000000"/>
          <w:sz w:val="21"/>
          <w:szCs w:val="21"/>
        </w:rPr>
        <w:t xml:space="preserve">                              单位：元（人民币）</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1757"/>
        <w:gridCol w:w="1962"/>
        <w:gridCol w:w="1360"/>
        <w:gridCol w:w="1360"/>
        <w:gridCol w:w="1360"/>
        <w:gridCol w:w="1363"/>
      </w:tblGrid>
      <w:tr>
        <w:trPr>
          <w:trHeight w:val="454"/>
        </w:trPr>
        <w:tc>
          <w:tcPr>
            <w:tcW w:w="956" w:type="dxa"/>
            <w:vAlign w:val="center"/>
            <w:textDirection w:val="lrTb"/>
            <w:noWrap w:val="false"/>
          </w:tcPr>
          <w:p>
            <w:pPr>
              <w:pStyle w:val="859"/>
              <w:jc w:val="center"/>
              <w:spacing w:line="440" w:lineRule="exact"/>
              <w:rPr>
                <w:rFonts w:ascii="宋体" w:hAnsi="宋体" w:cs="宋体"/>
                <w:b/>
                <w:bCs/>
                <w:color w:val="000000"/>
                <w:szCs w:val="21"/>
              </w:rPr>
            </w:pPr>
            <w:r>
              <w:rPr>
                <w:rFonts w:hint="eastAsia" w:ascii="宋体" w:hAnsi="宋体" w:eastAsia="宋体" w:cs="宋体"/>
                <w:b/>
                <w:bCs/>
                <w:color w:val="000000"/>
                <w:sz w:val="21"/>
                <w:szCs w:val="21"/>
              </w:rPr>
              <w:t xml:space="preserve">序号</w:t>
            </w:r>
            <w:r>
              <w:rPr>
                <w:rFonts w:ascii="宋体" w:hAnsi="宋体" w:cs="宋体"/>
              </w:rPr>
            </w:r>
            <w:r/>
          </w:p>
        </w:tc>
        <w:tc>
          <w:tcPr>
            <w:gridSpan w:val="2"/>
            <w:tcW w:w="3719" w:type="dxa"/>
            <w:vAlign w:val="center"/>
            <w:textDirection w:val="lrTb"/>
            <w:noWrap w:val="false"/>
          </w:tcPr>
          <w:p>
            <w:pPr>
              <w:pStyle w:val="859"/>
              <w:jc w:val="center"/>
              <w:spacing w:line="440" w:lineRule="exact"/>
              <w:rPr>
                <w:rFonts w:hint="eastAsia" w:ascii="宋体" w:hAnsi="宋体" w:cs="宋体"/>
                <w:b/>
                <w:bCs/>
                <w:color w:val="000000"/>
                <w:szCs w:val="21"/>
              </w:rPr>
            </w:pPr>
            <w:r>
              <w:rPr>
                <w:rFonts w:hint="eastAsia" w:ascii="宋体" w:hAnsi="宋体" w:eastAsia="宋体" w:cs="宋体"/>
                <w:b/>
                <w:bCs/>
                <w:color w:val="000000"/>
                <w:sz w:val="21"/>
                <w:szCs w:val="21"/>
              </w:rPr>
              <w:t xml:space="preserve">名称</w:t>
            </w:r>
            <w:r>
              <w:rPr>
                <w:rFonts w:ascii="宋体" w:hAnsi="宋体" w:cs="宋体"/>
              </w:rPr>
            </w:r>
            <w:r/>
          </w:p>
        </w:tc>
        <w:tc>
          <w:tcPr>
            <w:tcW w:w="1360" w:type="dxa"/>
            <w:vAlign w:val="center"/>
            <w:textDirection w:val="lrTb"/>
            <w:noWrap w:val="false"/>
          </w:tcPr>
          <w:p>
            <w:pPr>
              <w:pStyle w:val="859"/>
              <w:jc w:val="center"/>
              <w:spacing w:line="440" w:lineRule="exact"/>
              <w:rPr>
                <w:rFonts w:ascii="宋体" w:hAnsi="宋体" w:cs="宋体"/>
                <w:b/>
                <w:bCs/>
                <w:color w:val="000000"/>
                <w:szCs w:val="21"/>
              </w:rPr>
            </w:pPr>
            <w:r>
              <w:rPr>
                <w:rFonts w:hint="eastAsia" w:ascii="宋体" w:hAnsi="宋体" w:eastAsia="宋体" w:cs="宋体"/>
                <w:b/>
                <w:bCs/>
                <w:color w:val="000000"/>
                <w:sz w:val="21"/>
                <w:szCs w:val="21"/>
              </w:rPr>
              <w:t xml:space="preserve">单位</w:t>
            </w:r>
            <w:r>
              <w:rPr>
                <w:rFonts w:ascii="宋体" w:hAnsi="宋体" w:cs="宋体"/>
              </w:rPr>
            </w:r>
            <w:r/>
          </w:p>
        </w:tc>
        <w:tc>
          <w:tcPr>
            <w:tcW w:w="1360" w:type="dxa"/>
            <w:vAlign w:val="center"/>
            <w:textDirection w:val="lrTb"/>
            <w:noWrap w:val="false"/>
          </w:tcPr>
          <w:p>
            <w:pPr>
              <w:pStyle w:val="859"/>
              <w:jc w:val="center"/>
              <w:spacing w:line="440" w:lineRule="exact"/>
              <w:rPr>
                <w:rFonts w:ascii="宋体" w:hAnsi="宋体" w:cs="宋体"/>
                <w:b/>
                <w:bCs/>
                <w:color w:val="000000"/>
                <w:szCs w:val="21"/>
              </w:rPr>
            </w:pPr>
            <w:r>
              <w:rPr>
                <w:rFonts w:hint="eastAsia" w:ascii="宋体" w:hAnsi="宋体" w:eastAsia="宋体" w:cs="宋体"/>
                <w:b/>
                <w:bCs/>
                <w:color w:val="000000"/>
                <w:sz w:val="21"/>
                <w:szCs w:val="21"/>
              </w:rPr>
              <w:t xml:space="preserve">数量</w:t>
            </w:r>
            <w:r>
              <w:rPr>
                <w:rFonts w:ascii="宋体" w:hAnsi="宋体" w:cs="宋体"/>
              </w:rPr>
            </w:r>
            <w:r/>
          </w:p>
        </w:tc>
        <w:tc>
          <w:tcPr>
            <w:tcW w:w="1360" w:type="dxa"/>
            <w:vAlign w:val="center"/>
            <w:textDirection w:val="lrTb"/>
            <w:noWrap w:val="false"/>
          </w:tcPr>
          <w:p>
            <w:pPr>
              <w:pStyle w:val="859"/>
              <w:jc w:val="center"/>
              <w:spacing w:line="440" w:lineRule="exact"/>
              <w:rPr>
                <w:rFonts w:ascii="宋体" w:hAnsi="宋体" w:cs="宋体"/>
                <w:b/>
                <w:bCs/>
                <w:color w:val="000000"/>
                <w:szCs w:val="21"/>
              </w:rPr>
            </w:pPr>
            <w:r>
              <w:rPr>
                <w:rFonts w:hint="eastAsia" w:ascii="宋体" w:hAnsi="宋体" w:eastAsia="宋体" w:cs="宋体"/>
                <w:b/>
                <w:bCs/>
                <w:color w:val="000000"/>
                <w:sz w:val="21"/>
                <w:szCs w:val="21"/>
              </w:rPr>
              <w:t xml:space="preserve">单价</w:t>
            </w:r>
            <w:r>
              <w:rPr>
                <w:rFonts w:ascii="宋体" w:hAnsi="宋体" w:cs="宋体"/>
              </w:rPr>
            </w:r>
            <w:r/>
          </w:p>
        </w:tc>
        <w:tc>
          <w:tcPr>
            <w:tcW w:w="1363" w:type="dxa"/>
            <w:vAlign w:val="center"/>
            <w:textDirection w:val="lrTb"/>
            <w:noWrap w:val="false"/>
          </w:tcPr>
          <w:p>
            <w:pPr>
              <w:pStyle w:val="859"/>
              <w:jc w:val="center"/>
              <w:spacing w:line="440" w:lineRule="exact"/>
              <w:rPr>
                <w:rFonts w:ascii="宋体" w:hAnsi="宋体" w:cs="宋体"/>
                <w:b/>
                <w:bCs/>
                <w:color w:val="000000"/>
                <w:szCs w:val="21"/>
              </w:rPr>
            </w:pPr>
            <w:r>
              <w:rPr>
                <w:rFonts w:hint="eastAsia" w:ascii="宋体" w:hAnsi="宋体" w:eastAsia="宋体" w:cs="宋体"/>
                <w:b/>
                <w:bCs/>
                <w:color w:val="000000"/>
                <w:sz w:val="21"/>
                <w:szCs w:val="21"/>
              </w:rPr>
              <w:t xml:space="preserve">总价</w:t>
            </w:r>
            <w:r>
              <w:rPr>
                <w:rFonts w:ascii="宋体" w:hAnsi="宋体" w:cs="宋体"/>
              </w:rPr>
            </w:r>
            <w:r/>
          </w:p>
        </w:tc>
      </w:tr>
      <w:tr>
        <w:trPr>
          <w:trHeight w:val="454"/>
        </w:trPr>
        <w:tc>
          <w:tcPr>
            <w:gridSpan w:val="7"/>
            <w:tcW w:w="10118" w:type="dxa"/>
            <w:vAlign w:val="top"/>
            <w:textDirection w:val="lrTb"/>
            <w:noWrap w:val="false"/>
          </w:tcPr>
          <w:p>
            <w:pPr>
              <w:pStyle w:val="859"/>
              <w:jc w:val="center"/>
              <w:spacing w:line="440" w:lineRule="exact"/>
              <w:rPr>
                <w:rFonts w:ascii="宋体" w:hAnsi="宋体" w:cs="宋体"/>
                <w:color w:val="000000"/>
                <w:szCs w:val="21"/>
              </w:rPr>
            </w:pPr>
            <w:r>
              <w:rPr>
                <w:rFonts w:hint="eastAsia" w:ascii="宋体" w:hAnsi="宋体" w:eastAsia="宋体" w:cs="宋体"/>
                <w:b/>
                <w:bCs/>
                <w:color w:val="000000"/>
                <w:sz w:val="21"/>
                <w:szCs w:val="21"/>
              </w:rPr>
              <w:t xml:space="preserve">230省道吴江收费站财政电子票据改革收费系统改造项目</w:t>
            </w:r>
            <w:r>
              <w:rPr>
                <w:rFonts w:ascii="宋体" w:hAnsi="宋体" w:cs="宋体"/>
              </w:rPr>
            </w:r>
            <w:r/>
          </w:p>
        </w:tc>
      </w:tr>
      <w:tr>
        <w:trPr>
          <w:trHeight w:val="454"/>
        </w:trPr>
        <w:tc>
          <w:tcPr>
            <w:tcW w:w="956"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gridSpan w:val="2"/>
            <w:tcW w:w="3719"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0"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0"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0"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3"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56"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gridSpan w:val="2"/>
            <w:tcW w:w="3719"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0"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0"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0"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3"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56"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gridSpan w:val="2"/>
            <w:tcW w:w="3719"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0"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0"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0"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3"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56"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gridSpan w:val="2"/>
            <w:tcW w:w="3719"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0"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0"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0"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3"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56"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gridSpan w:val="2"/>
            <w:tcW w:w="3719"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0"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0"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0"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3"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56"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gridSpan w:val="2"/>
            <w:tcW w:w="3719"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0"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0"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0"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363" w:type="dxa"/>
            <w:vAlign w:val="top"/>
            <w:textDirection w:val="lrTb"/>
            <w:noWrap w:val="false"/>
          </w:tcPr>
          <w:p>
            <w:pPr>
              <w:pStyle w:val="859"/>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gridSpan w:val="7"/>
            <w:tcW w:w="10118"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合计1：</w:t>
            </w:r>
            <w:r>
              <w:rPr>
                <w:rFonts w:ascii="宋体" w:hAnsi="宋体" w:cs="宋体"/>
              </w:rPr>
            </w:r>
            <w:r/>
          </w:p>
        </w:tc>
      </w:tr>
      <w:tr>
        <w:trPr>
          <w:trHeight w:val="454"/>
        </w:trPr>
        <w:tc>
          <w:tcPr>
            <w:gridSpan w:val="7"/>
            <w:tcW w:w="10118"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b/>
                <w:bCs/>
                <w:color w:val="000000"/>
                <w:sz w:val="21"/>
                <w:szCs w:val="21"/>
              </w:rPr>
              <w:t xml:space="preserve">258省道桃源收费站财政电子票据改革收费系统改造项目</w:t>
            </w:r>
            <w:r>
              <w:rPr>
                <w:rFonts w:ascii="宋体" w:hAnsi="宋体" w:cs="宋体"/>
              </w:rPr>
            </w:r>
            <w:r/>
          </w:p>
        </w:tc>
      </w:tr>
      <w:tr>
        <w:trPr>
          <w:trHeight w:val="454"/>
        </w:trPr>
        <w:tc>
          <w:tcPr>
            <w:tcW w:w="956"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gridSpan w:val="2"/>
            <w:tcW w:w="3719"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3"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rHeight w:val="454"/>
        </w:trPr>
        <w:tc>
          <w:tcPr>
            <w:tcW w:w="956"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gridSpan w:val="2"/>
            <w:tcW w:w="3719"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3"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rHeight w:val="454"/>
        </w:trPr>
        <w:tc>
          <w:tcPr>
            <w:tcW w:w="956"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gridSpan w:val="2"/>
            <w:tcW w:w="3719"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3"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rHeight w:val="454"/>
        </w:trPr>
        <w:tc>
          <w:tcPr>
            <w:tcW w:w="956"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gridSpan w:val="2"/>
            <w:tcW w:w="3719"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3"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rHeight w:val="454"/>
        </w:trPr>
        <w:tc>
          <w:tcPr>
            <w:tcW w:w="956"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gridSpan w:val="2"/>
            <w:tcW w:w="3719"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3"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rHeight w:val="454"/>
        </w:trPr>
        <w:tc>
          <w:tcPr>
            <w:tcW w:w="956"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gridSpan w:val="2"/>
            <w:tcW w:w="3719"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363"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rHeight w:val="454"/>
        </w:trPr>
        <w:tc>
          <w:tcPr>
            <w:gridSpan w:val="7"/>
            <w:tcW w:w="10118"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合计2：</w:t>
            </w:r>
            <w:r>
              <w:rPr>
                <w:rFonts w:ascii="宋体" w:hAnsi="宋体" w:cs="宋体"/>
              </w:rPr>
            </w:r>
            <w:r/>
          </w:p>
        </w:tc>
      </w:tr>
      <w:tr>
        <w:trPr>
          <w:trHeight w:val="454"/>
        </w:trPr>
        <w:tc>
          <w:tcPr>
            <w:gridSpan w:val="2"/>
            <w:tcW w:w="2713" w:type="dxa"/>
            <w:vAlign w:val="top"/>
            <w:textDirection w:val="lrTb"/>
            <w:noWrap w:val="false"/>
          </w:tcPr>
          <w:p>
            <w:pPr>
              <w:pStyle w:val="859"/>
              <w:jc w:val="center"/>
              <w:spacing w:line="440" w:lineRule="exact"/>
              <w:rPr>
                <w:rFonts w:hint="eastAsia" w:ascii="宋体" w:hAnsi="宋体" w:cs="宋体"/>
                <w:color w:val="000000"/>
                <w:szCs w:val="21"/>
              </w:rPr>
            </w:pPr>
            <w:r>
              <w:rPr>
                <w:rFonts w:hint="eastAsia" w:ascii="宋体" w:hAnsi="宋体" w:eastAsia="宋体" w:cs="宋体"/>
                <w:color w:val="000000"/>
                <w:sz w:val="21"/>
                <w:szCs w:val="21"/>
              </w:rPr>
              <w:t xml:space="preserve">最终报价（合计1+合计2）</w:t>
            </w:r>
            <w:r>
              <w:rPr>
                <w:rFonts w:ascii="宋体" w:hAnsi="宋体" w:cs="宋体"/>
              </w:rPr>
            </w:r>
            <w:r/>
          </w:p>
        </w:tc>
        <w:tc>
          <w:tcPr>
            <w:gridSpan w:val="5"/>
            <w:tcW w:w="7405" w:type="dxa"/>
            <w:vAlign w:val="top"/>
            <w:textDirection w:val="lrTb"/>
            <w:noWrap w:val="false"/>
          </w:tcPr>
          <w:p>
            <w:pPr>
              <w:pStyle w:val="859"/>
              <w:spacing w:line="440" w:lineRule="exact"/>
              <w:rPr>
                <w:rFonts w:ascii="宋体" w:hAnsi="宋体" w:cs="宋体"/>
                <w:color w:val="000000"/>
                <w:szCs w:val="21"/>
              </w:rPr>
            </w:pPr>
            <w:r>
              <w:rPr>
                <w:rFonts w:hint="eastAsia" w:ascii="宋体" w:hAnsi="宋体" w:eastAsia="宋体" w:cs="宋体"/>
                <w:color w:val="000000"/>
                <w:sz w:val="21"/>
                <w:szCs w:val="21"/>
              </w:rPr>
              <w:t xml:space="preserve">金额（大写）</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hint="eastAsia" w:ascii="宋体" w:hAnsi="宋体" w:eastAsia="宋体" w:cs="宋体"/>
                <w:color w:val="000000"/>
                <w:sz w:val="21"/>
                <w:szCs w:val="21"/>
              </w:rPr>
              <w:t xml:space="preserve">元</w:t>
            </w:r>
            <w:r>
              <w:rPr>
                <w:rFonts w:ascii="宋体" w:hAnsi="宋体" w:cs="宋体"/>
                <w:color w:val="000000"/>
                <w:sz w:val="21"/>
                <w:szCs w:val="21"/>
              </w:rPr>
              <w:t xml:space="preserve">    </w:t>
            </w:r>
            <w:r>
              <w:rPr>
                <w:rFonts w:hint="eastAsia" w:ascii="宋体" w:hAnsi="宋体" w:cs="宋体"/>
                <w:color w:val="000000"/>
                <w:sz w:val="21"/>
                <w:szCs w:val="21"/>
              </w:rPr>
              <w:t xml:space="preserve"> </w:t>
            </w:r>
            <w:r>
              <w:rPr>
                <w:rFonts w:ascii="宋体" w:hAnsi="宋体" w:cs="宋体"/>
                <w:color w:val="000000"/>
                <w:sz w:val="21"/>
                <w:szCs w:val="21"/>
              </w:rPr>
              <w:t xml:space="preserve">   </w:t>
            </w:r>
            <w:r>
              <w:rPr>
                <w:rFonts w:hint="eastAsia" w:ascii="宋体" w:hAnsi="宋体" w:eastAsia="宋体" w:cs="宋体"/>
                <w:color w:val="000000"/>
                <w:sz w:val="21"/>
                <w:szCs w:val="21"/>
              </w:rPr>
              <w:t xml:space="preserve">（小写）¥</w:t>
            </w:r>
            <w:r>
              <w:rPr>
                <w:rFonts w:ascii="宋体" w:hAnsi="宋体" w:cs="宋体"/>
                <w:color w:val="000000"/>
                <w:sz w:val="21"/>
                <w:szCs w:val="21"/>
                <w:u w:val="single"/>
              </w:rPr>
              <w:t xml:space="preserve">         </w:t>
            </w:r>
            <w:r>
              <w:rPr>
                <w:rFonts w:ascii="宋体" w:hAnsi="宋体" w:cs="宋体"/>
              </w:rPr>
            </w:r>
            <w:r/>
          </w:p>
        </w:tc>
      </w:tr>
    </w:tbl>
    <w:p>
      <w:pPr>
        <w:pStyle w:val="859"/>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59"/>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投标方：（单位盖章）</w:t>
      </w:r>
      <w:r>
        <w:rPr>
          <w:rFonts w:ascii="宋体" w:hAnsi="宋体" w:cs="宋体"/>
        </w:rPr>
      </w:r>
      <w:r/>
    </w:p>
    <w:p>
      <w:pPr>
        <w:pStyle w:val="859"/>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59"/>
        <w:spacing w:line="440" w:lineRule="exact"/>
        <w:rPr>
          <w:rFonts w:ascii="宋体" w:hAnsi="宋体" w:cs="宋体"/>
          <w:b/>
          <w:bCs/>
          <w:color w:val="000000"/>
          <w:sz w:val="21"/>
          <w:szCs w:val="21"/>
        </w:rPr>
      </w:pPr>
      <w:r>
        <w:rPr>
          <w:rFonts w:hint="eastAsia" w:ascii="宋体" w:hAnsi="宋体" w:eastAsia="宋体" w:cs="宋体"/>
          <w:color w:val="000000"/>
          <w:sz w:val="21"/>
          <w:szCs w:val="21"/>
        </w:rPr>
        <w:t xml:space="preserve">日期：    年    月    日</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注：（</w:t>
      </w:r>
      <w:r>
        <w:rPr>
          <w:rFonts w:hint="eastAsia" w:ascii="宋体" w:hAnsi="宋体" w:cs="宋体"/>
          <w:color w:val="000000"/>
          <w:sz w:val="21"/>
          <w:szCs w:val="21"/>
        </w:rPr>
        <w:t xml:space="preserve">1</w:t>
      </w:r>
      <w:r>
        <w:rPr>
          <w:rFonts w:hint="eastAsia" w:ascii="宋体" w:hAnsi="宋体" w:eastAsia="宋体" w:cs="宋体"/>
          <w:color w:val="000000"/>
          <w:sz w:val="21"/>
          <w:szCs w:val="21"/>
          <w:lang w:val="zh-CN"/>
        </w:rPr>
        <w:t xml:space="preserve">）请投标单位按照上述格式分析投标总报价，本项投标总价需与开标一览表投标总价一致。如有出现漏报、错报或未报项，均由投标单位自行承担，采购单位不再另行支付其他费用。</w:t>
      </w:r>
      <w:r>
        <w:rPr>
          <w:rFonts w:ascii="宋体" w:hAnsi="宋体" w:cs="宋体"/>
        </w:rPr>
      </w:r>
      <w:r/>
    </w:p>
    <w:p>
      <w:pPr>
        <w:pStyle w:val="859"/>
        <w:numPr>
          <w:ilvl w:val="0"/>
          <w:numId w:val="5"/>
        </w:numPr>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报价应</w:t>
      </w:r>
      <w:r>
        <w:rPr>
          <w:rFonts w:hint="eastAsia" w:ascii="宋体" w:hAnsi="宋体" w:eastAsia="宋体" w:cs="宋体"/>
          <w:color w:val="000000"/>
          <w:sz w:val="21"/>
          <w:szCs w:val="21"/>
        </w:rPr>
        <w:t xml:space="preserve">包括全部标的物及其备品备件、</w:t>
      </w:r>
      <w:r>
        <w:rPr>
          <w:rFonts w:hint="eastAsia" w:ascii="宋体" w:hAnsi="宋体" w:eastAsia="宋体" w:cs="宋体"/>
          <w:color w:val="000000"/>
          <w:sz w:val="21"/>
          <w:szCs w:val="21"/>
          <w:lang w:val="zh-CN"/>
        </w:rPr>
        <w:t xml:space="preserve">部署费用、设备安装调试、日常运维、技术培训、系统升级等人工与技术服务费、材料、机械、管理、利润、税金、政策性文件规定及合同包含的所有风险、责任等一切费用。</w:t>
      </w:r>
      <w:r>
        <w:rPr>
          <w:rFonts w:ascii="宋体" w:hAnsi="宋体" w:cs="宋体"/>
        </w:rPr>
      </w:r>
      <w:r/>
    </w:p>
    <w:p>
      <w:pPr>
        <w:pStyle w:val="859"/>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jc w:val="left"/>
        <w:spacing w:line="48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附件4、</w:t>
      </w:r>
      <w:r>
        <w:rPr>
          <w:rFonts w:hint="eastAsia" w:ascii="宋体" w:hAnsi="宋体" w:eastAsia="宋体" w:cs="宋体"/>
          <w:b/>
          <w:bCs/>
          <w:color w:val="000000"/>
          <w:sz w:val="21"/>
          <w:szCs w:val="21"/>
          <w:lang w:val="zh-CN"/>
        </w:rPr>
        <w:t xml:space="preserve">技术部分（格式为参考，投标单位可参照下述格式自制表格投标，但至少应包括下述格式中的内容，没有参考格式的则可根据情况自行编制）</w:t>
      </w:r>
      <w:r>
        <w:rPr>
          <w:rFonts w:ascii="宋体" w:hAnsi="宋体" w:cs="宋体"/>
        </w:rPr>
      </w:r>
      <w:r/>
    </w:p>
    <w:p>
      <w:pPr>
        <w:pStyle w:val="859"/>
        <w:spacing w:line="48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1.服务及技术条款偏离表</w:t>
      </w:r>
      <w:r>
        <w:rPr>
          <w:rFonts w:ascii="宋体" w:hAnsi="宋体" w:cs="宋体"/>
        </w:rPr>
      </w:r>
      <w:r/>
    </w:p>
    <w:p>
      <w:pPr>
        <w:pStyle w:val="859"/>
        <w:jc w:val="center"/>
        <w:spacing w:line="440" w:lineRule="exact"/>
        <w:shd w:val="clear" w:color="auto" w:fill="ffffff"/>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服务及技术条款偏离表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1"/>
        <w:gridCol w:w="2003"/>
        <w:gridCol w:w="2310"/>
        <w:gridCol w:w="3193"/>
        <w:gridCol w:w="1691"/>
      </w:tblGrid>
      <w:tr>
        <w:trPr/>
        <w:tc>
          <w:tcPr>
            <w:tcW w:w="92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序号</w:t>
            </w:r>
            <w:r>
              <w:rPr>
                <w:rFonts w:ascii="宋体" w:hAnsi="宋体" w:cs="宋体"/>
              </w:rPr>
            </w:r>
            <w:r/>
          </w:p>
        </w:tc>
        <w:tc>
          <w:tcPr>
            <w:tcW w:w="200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项目</w:t>
            </w:r>
            <w:r>
              <w:rPr>
                <w:rFonts w:ascii="宋体" w:hAnsi="宋体" w:cs="宋体"/>
              </w:rPr>
            </w:r>
            <w:r/>
          </w:p>
        </w:tc>
        <w:tc>
          <w:tcPr>
            <w:tcW w:w="231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招标文件服务要求</w:t>
            </w:r>
            <w:r>
              <w:rPr>
                <w:rFonts w:ascii="宋体" w:hAnsi="宋体" w:cs="宋体"/>
              </w:rPr>
            </w:r>
            <w:r/>
          </w:p>
        </w:tc>
        <w:tc>
          <w:tcPr>
            <w:tcW w:w="319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投标文件响应情况</w:t>
            </w:r>
            <w:r>
              <w:rPr>
                <w:rFonts w:ascii="宋体" w:hAnsi="宋体" w:cs="宋体"/>
              </w:rPr>
            </w:r>
            <w:r/>
          </w:p>
        </w:tc>
        <w:tc>
          <w:tcPr>
            <w:tcW w:w="169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说明</w:t>
            </w:r>
            <w:r>
              <w:rPr>
                <w:rFonts w:ascii="宋体" w:hAnsi="宋体" w:cs="宋体"/>
              </w:rPr>
            </w:r>
            <w:r/>
          </w:p>
        </w:tc>
      </w:tr>
      <w:tr>
        <w:trPr/>
        <w:tc>
          <w:tcPr>
            <w:tcW w:w="92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00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310"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319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c>
          <w:tcPr>
            <w:tcW w:w="92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00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310"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319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c>
          <w:tcPr>
            <w:tcW w:w="92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00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310"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319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c>
          <w:tcPr>
            <w:tcW w:w="92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00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310"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319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c>
          <w:tcPr>
            <w:tcW w:w="92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00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310"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319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c>
          <w:tcPr>
            <w:tcW w:w="92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00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310"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319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c>
          <w:tcPr>
            <w:tcW w:w="92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00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310"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319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c>
          <w:tcPr>
            <w:tcW w:w="92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00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310"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319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c>
          <w:tcPr>
            <w:tcW w:w="92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00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310"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319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c>
          <w:tcPr>
            <w:tcW w:w="92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00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310"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319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1"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bl>
    <w:p>
      <w:pPr>
        <w:pStyle w:val="859"/>
        <w:ind w:firstLine="420"/>
        <w:jc w:val="left"/>
        <w:spacing w:line="440" w:lineRule="exact"/>
        <w:rPr>
          <w:rFonts w:ascii="宋体" w:hAnsi="宋体" w:cs="宋体"/>
          <w:color w:val="000000"/>
          <w:sz w:val="21"/>
          <w:szCs w:val="22"/>
        </w:rPr>
      </w:pPr>
      <w:r>
        <w:rPr>
          <w:rFonts w:hint="eastAsia" w:ascii="宋体" w:hAnsi="宋体" w:eastAsia="宋体" w:cs="宋体"/>
          <w:color w:val="000000"/>
          <w:sz w:val="21"/>
          <w:szCs w:val="22"/>
        </w:rPr>
        <w:t xml:space="preserve">注：1、投标单位应对照招标文件服务（技术）要求等要求，所投标的物与招标文件的规定有偏离的，应在此表中申明与服务（技术）要求条文的偏差和例外。</w:t>
      </w:r>
      <w:r>
        <w:rPr>
          <w:rFonts w:ascii="宋体" w:hAnsi="宋体" w:cs="宋体"/>
        </w:rPr>
      </w:r>
      <w:r/>
    </w:p>
    <w:p>
      <w:pPr>
        <w:pStyle w:val="859"/>
        <w:ind w:firstLine="420"/>
        <w:jc w:val="left"/>
        <w:spacing w:line="440" w:lineRule="exact"/>
        <w:rPr>
          <w:rFonts w:ascii="宋体" w:hAnsi="宋体" w:cs="宋体"/>
          <w:color w:val="000000"/>
          <w:sz w:val="21"/>
          <w:szCs w:val="22"/>
        </w:rPr>
      </w:pPr>
      <w:r>
        <w:rPr>
          <w:rFonts w:hint="eastAsia" w:ascii="宋体" w:hAnsi="宋体" w:eastAsia="宋体" w:cs="宋体"/>
          <w:color w:val="000000"/>
          <w:sz w:val="21"/>
          <w:szCs w:val="22"/>
        </w:rPr>
        <w:t xml:space="preserve">2、未在上表中说明的，如在投标文件其他内容中已有文字说明的，则以已有文字说明为准，否则，将被认为完全响应招标文件的规定。但该表不作为投标单位对所投标的物关于服务（技术）要求等详细描述和说明的替代。</w:t>
      </w:r>
      <w:r>
        <w:rPr>
          <w:rFonts w:ascii="宋体" w:hAnsi="宋体" w:cs="宋体"/>
        </w:rPr>
      </w:r>
      <w:r/>
    </w:p>
    <w:p>
      <w:pPr>
        <w:pStyle w:val="859"/>
        <w:spacing w:line="440" w:lineRule="exact"/>
        <w:shd w:val="clear" w:color="auto" w:fill="ffffff"/>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投标方：（单位盖章）</w:t>
      </w:r>
      <w:r>
        <w:rPr>
          <w:rFonts w:ascii="宋体" w:hAnsi="宋体" w:cs="宋体"/>
        </w:rPr>
      </w:r>
      <w:r/>
    </w:p>
    <w:p>
      <w:pPr>
        <w:pStyle w:val="859"/>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59"/>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cs="宋体"/>
        </w:rPr>
      </w:r>
      <w:r/>
    </w:p>
    <w:p>
      <w:pPr>
        <w:pStyle w:val="859"/>
        <w:ind w:firstLine="211"/>
        <w:spacing w:line="400" w:lineRule="exact"/>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59"/>
        <w:ind w:firstLine="211"/>
        <w:spacing w:line="400" w:lineRule="exact"/>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59"/>
        <w:ind w:firstLine="211"/>
        <w:spacing w:line="400" w:lineRule="exact"/>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59"/>
        <w:ind w:firstLine="211"/>
        <w:spacing w:line="400" w:lineRule="exact"/>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59"/>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ind w:firstLine="480"/>
        <w:spacing w:line="360" w:lineRule="auto"/>
        <w:rPr>
          <w:rFonts w:hint="eastAsia" w:ascii="宋体" w:hAnsi="宋体" w:cs="宋体"/>
          <w:color w:val="000000"/>
          <w:szCs w:val="22"/>
        </w:rPr>
      </w:pPr>
      <w:r>
        <w:rPr>
          <w:rFonts w:hint="eastAsia" w:ascii="宋体" w:hAnsi="宋体" w:cs="宋体"/>
          <w:color w:val="000000"/>
          <w:szCs w:val="22"/>
        </w:rPr>
      </w:r>
      <w:r>
        <w:rPr>
          <w:rFonts w:ascii="宋体" w:hAnsi="宋体" w:cs="宋体"/>
        </w:rPr>
      </w:r>
      <w:r/>
    </w:p>
    <w:p>
      <w:pPr>
        <w:pStyle w:val="859"/>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8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2.商务条款偏离表</w:t>
      </w:r>
      <w:r>
        <w:rPr>
          <w:rFonts w:ascii="宋体" w:hAnsi="宋体" w:cs="宋体"/>
        </w:rPr>
      </w:r>
      <w:r/>
    </w:p>
    <w:p>
      <w:pPr>
        <w:pStyle w:val="859"/>
        <w:jc w:val="center"/>
        <w:spacing w:line="440" w:lineRule="exact"/>
        <w:shd w:val="clear" w:color="auto" w:fill="ffffff"/>
        <w:rPr>
          <w:rFonts w:hint="eastAsia" w:ascii="宋体" w:hAnsi="宋体" w:cs="宋体"/>
          <w:color w:val="000000"/>
          <w:sz w:val="21"/>
          <w:szCs w:val="21"/>
        </w:rPr>
      </w:pPr>
      <w:r>
        <w:rPr>
          <w:rFonts w:hint="eastAsia" w:ascii="宋体" w:hAnsi="宋体" w:eastAsia="宋体" w:cs="宋体"/>
          <w:b/>
          <w:bCs/>
          <w:color w:val="000000"/>
          <w:sz w:val="21"/>
          <w:szCs w:val="21"/>
        </w:rPr>
        <w:t xml:space="preserve">商务条款偏离表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2125"/>
        <w:gridCol w:w="2656"/>
        <w:gridCol w:w="2655"/>
        <w:gridCol w:w="1899"/>
      </w:tblGrid>
      <w:tr>
        <w:trPr/>
        <w:tc>
          <w:tcPr>
            <w:tcW w:w="78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序号</w:t>
            </w:r>
            <w:r>
              <w:rPr>
                <w:rFonts w:ascii="宋体" w:hAnsi="宋体" w:cs="宋体"/>
              </w:rPr>
            </w:r>
            <w:r/>
          </w:p>
        </w:tc>
        <w:tc>
          <w:tcPr>
            <w:tcW w:w="212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名称</w:t>
            </w:r>
            <w:r>
              <w:rPr>
                <w:rFonts w:ascii="宋体" w:hAnsi="宋体" w:cs="宋体"/>
              </w:rPr>
            </w:r>
            <w:r/>
          </w:p>
        </w:tc>
        <w:tc>
          <w:tcPr>
            <w:tcW w:w="2656"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招标文件商务要求</w:t>
            </w:r>
            <w:r>
              <w:rPr>
                <w:rFonts w:ascii="宋体" w:hAnsi="宋体" w:cs="宋体"/>
              </w:rPr>
            </w:r>
            <w:r/>
          </w:p>
        </w:tc>
        <w:tc>
          <w:tcPr>
            <w:tcW w:w="265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投标文件响应情况</w:t>
            </w:r>
            <w:r>
              <w:rPr>
                <w:rFonts w:ascii="宋体" w:hAnsi="宋体" w:cs="宋体"/>
              </w:rPr>
            </w:r>
            <w:r/>
          </w:p>
        </w:tc>
        <w:tc>
          <w:tcPr>
            <w:tcW w:w="1899"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说明</w:t>
            </w:r>
            <w:r>
              <w:rPr>
                <w:rFonts w:ascii="宋体" w:hAnsi="宋体" w:cs="宋体"/>
              </w:rPr>
            </w:r>
            <w:r/>
          </w:p>
        </w:tc>
      </w:tr>
      <w:tr>
        <w:trPr/>
        <w:tc>
          <w:tcPr>
            <w:tcW w:w="78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c>
          <w:tcPr>
            <w:tcW w:w="212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合同履行期限</w:t>
            </w:r>
            <w:r>
              <w:rPr>
                <w:rFonts w:ascii="宋体" w:hAnsi="宋体" w:cs="宋体"/>
              </w:rPr>
            </w:r>
            <w:r/>
          </w:p>
        </w:tc>
        <w:tc>
          <w:tcPr>
            <w:tcW w:w="2656"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655"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99"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c>
          <w:tcPr>
            <w:tcW w:w="78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rPr>
            </w:r>
            <w:r/>
          </w:p>
        </w:tc>
        <w:tc>
          <w:tcPr>
            <w:tcW w:w="212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付款方式</w:t>
            </w:r>
            <w:r>
              <w:rPr>
                <w:rFonts w:ascii="宋体" w:hAnsi="宋体" w:cs="宋体"/>
              </w:rPr>
            </w:r>
            <w:r/>
          </w:p>
        </w:tc>
        <w:tc>
          <w:tcPr>
            <w:tcW w:w="2656"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655"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99"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c>
          <w:tcPr>
            <w:tcW w:w="78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ascii="宋体" w:hAnsi="宋体" w:cs="宋体"/>
              </w:rPr>
            </w:r>
            <w:r/>
          </w:p>
        </w:tc>
        <w:tc>
          <w:tcPr>
            <w:tcW w:w="212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合同主要条款</w:t>
            </w:r>
            <w:r>
              <w:rPr>
                <w:rFonts w:ascii="宋体" w:hAnsi="宋体" w:cs="宋体"/>
              </w:rPr>
            </w:r>
            <w:r/>
          </w:p>
        </w:tc>
        <w:tc>
          <w:tcPr>
            <w:tcW w:w="2656"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655"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99"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c>
          <w:tcPr>
            <w:tcW w:w="78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w:t>
            </w:r>
            <w:r>
              <w:rPr>
                <w:rFonts w:ascii="宋体" w:hAnsi="宋体" w:cs="宋体"/>
              </w:rPr>
            </w:r>
            <w:r/>
          </w:p>
        </w:tc>
        <w:tc>
          <w:tcPr>
            <w:tcW w:w="212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w:t>
            </w:r>
            <w:r>
              <w:rPr>
                <w:rFonts w:ascii="宋体" w:hAnsi="宋体" w:cs="宋体"/>
              </w:rPr>
            </w:r>
            <w:r/>
          </w:p>
        </w:tc>
        <w:tc>
          <w:tcPr>
            <w:tcW w:w="2656"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65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99"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c>
          <w:tcPr>
            <w:tcW w:w="78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2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656"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655"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99"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c>
          <w:tcPr>
            <w:tcW w:w="78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25"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656"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655"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99"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c>
          <w:tcPr>
            <w:tcW w:w="78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25"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656"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655"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99"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c>
          <w:tcPr>
            <w:tcW w:w="78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25"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656"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655"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99"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c>
          <w:tcPr>
            <w:tcW w:w="783"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25"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656"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655"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99"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bl>
    <w:p>
      <w:pPr>
        <w:pStyle w:val="859"/>
        <w:ind w:firstLine="420"/>
        <w:jc w:val="left"/>
        <w:spacing w:line="440" w:lineRule="exact"/>
        <w:rPr>
          <w:rFonts w:ascii="宋体" w:hAnsi="宋体" w:cs="宋体"/>
          <w:color w:val="000000"/>
          <w:sz w:val="21"/>
          <w:szCs w:val="22"/>
        </w:rPr>
      </w:pPr>
      <w:r>
        <w:rPr>
          <w:rFonts w:hint="eastAsia" w:ascii="宋体" w:hAnsi="宋体" w:eastAsia="宋体" w:cs="宋体"/>
          <w:color w:val="000000"/>
          <w:sz w:val="21"/>
          <w:szCs w:val="22"/>
        </w:rPr>
        <w:t xml:space="preserve">注：投标单位的投标文件（除服务及技术要求部分）与招标文件规定的有偏离的，应在此表中说明。未在上表中说明的，如在投标文件其他内容中已有文字说明的，则以已有文字说明为准，否则，将被认为完全响应招标文件的规定。但该表不作为投标单位对所投标的物关于商务条款等详细描述和说明的替代。</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59"/>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投标方：（单位盖章）</w:t>
      </w:r>
      <w:r>
        <w:rPr>
          <w:rFonts w:ascii="宋体" w:hAnsi="宋体" w:cs="宋体"/>
        </w:rPr>
      </w:r>
      <w:r/>
    </w:p>
    <w:p>
      <w:pPr>
        <w:pStyle w:val="859"/>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59"/>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cs="宋体"/>
        </w:rPr>
      </w:r>
      <w:r/>
    </w:p>
    <w:p>
      <w:pPr>
        <w:pStyle w:val="859"/>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1060"/>
        <w:ind w:firstLine="480"/>
        <w:rPr>
          <w:rFonts w:hint="eastAsia" w:ascii="宋体" w:hAnsi="宋体" w:cs="宋体"/>
          <w:color w:val="000000"/>
        </w:rPr>
      </w:pPr>
      <w:r>
        <w:rPr>
          <w:rFonts w:hint="eastAsia" w:ascii="宋体" w:hAnsi="宋体" w:cs="宋体"/>
          <w:color w:val="000000"/>
        </w:rPr>
      </w:r>
      <w:r>
        <w:rPr>
          <w:rFonts w:ascii="宋体" w:hAnsi="宋体" w:cs="宋体"/>
        </w:rPr>
      </w:r>
      <w:r/>
    </w:p>
    <w:p>
      <w:pPr>
        <w:pStyle w:val="859"/>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59"/>
        <w:spacing w:line="48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3.</w:t>
      </w:r>
      <w:r>
        <w:rPr>
          <w:rFonts w:hint="eastAsia" w:ascii="宋体" w:hAnsi="宋体" w:eastAsia="宋体" w:cs="宋体"/>
          <w:b/>
          <w:bCs/>
          <w:color w:val="000000"/>
          <w:sz w:val="21"/>
          <w:szCs w:val="21"/>
          <w:lang w:val="zh-CN"/>
        </w:rPr>
        <w:t xml:space="preserve">主要设备</w:t>
      </w:r>
      <w:r>
        <w:rPr>
          <w:rFonts w:hint="eastAsia" w:ascii="宋体" w:hAnsi="宋体" w:eastAsia="宋体" w:cs="宋体"/>
          <w:b/>
          <w:bCs/>
          <w:color w:val="000000"/>
          <w:sz w:val="21"/>
          <w:szCs w:val="21"/>
        </w:rPr>
        <w:t xml:space="preserve">设施表</w:t>
      </w:r>
      <w:r>
        <w:rPr>
          <w:rFonts w:ascii="宋体" w:hAnsi="宋体" w:cs="宋体"/>
        </w:rPr>
      </w:r>
      <w:r/>
    </w:p>
    <w:p>
      <w:pPr>
        <w:pStyle w:val="859"/>
        <w:jc w:val="center"/>
        <w:spacing w:line="440" w:lineRule="exact"/>
        <w:rPr>
          <w:rFonts w:ascii="宋体" w:hAnsi="宋体" w:cs="宋体"/>
          <w:b/>
          <w:bCs/>
          <w:color w:val="000000"/>
          <w:sz w:val="21"/>
          <w:szCs w:val="21"/>
          <w:u w:val="single"/>
        </w:rPr>
      </w:pPr>
      <w:r>
        <w:rPr>
          <w:rFonts w:hint="eastAsia" w:ascii="宋体" w:hAnsi="宋体" w:eastAsia="宋体" w:cs="宋体"/>
          <w:b/>
          <w:bCs/>
          <w:color w:val="000000"/>
          <w:sz w:val="21"/>
          <w:szCs w:val="21"/>
          <w:lang w:val="zh-CN"/>
        </w:rPr>
        <w:t xml:space="preserve">主要设备及</w:t>
      </w:r>
      <w:r>
        <w:rPr>
          <w:rFonts w:hint="eastAsia" w:ascii="宋体" w:hAnsi="宋体" w:eastAsia="宋体" w:cs="宋体"/>
          <w:b/>
          <w:bCs/>
          <w:color w:val="000000"/>
          <w:sz w:val="21"/>
          <w:szCs w:val="21"/>
        </w:rPr>
        <w:t xml:space="preserve">设施</w:t>
      </w:r>
      <w:r>
        <w:rPr>
          <w:rFonts w:hint="eastAsia" w:ascii="宋体" w:hAnsi="宋体" w:eastAsia="宋体" w:cs="宋体"/>
          <w:b/>
          <w:bCs/>
          <w:color w:val="000000"/>
          <w:sz w:val="21"/>
          <w:szCs w:val="21"/>
          <w:lang w:val="zh-CN"/>
        </w:rPr>
        <w:t xml:space="preserve">一览表（</w:t>
      </w:r>
      <w:r>
        <w:rPr>
          <w:rFonts w:hint="eastAsia" w:ascii="宋体" w:hAnsi="宋体" w:eastAsia="宋体" w:cs="宋体"/>
          <w:b/>
          <w:bCs/>
          <w:color w:val="000000"/>
          <w:sz w:val="21"/>
          <w:szCs w:val="21"/>
        </w:rPr>
        <w:t xml:space="preserve">参考格式）</w:t>
      </w:r>
      <w:r>
        <w:rPr>
          <w:rFonts w:ascii="宋体" w:hAnsi="宋体" w:cs="宋体"/>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71"/>
        <w:gridCol w:w="1649"/>
        <w:gridCol w:w="1235"/>
        <w:gridCol w:w="1443"/>
        <w:gridCol w:w="1854"/>
        <w:gridCol w:w="2060"/>
      </w:tblGrid>
      <w:tr>
        <w:trPr>
          <w:trHeight w:val="454"/>
        </w:trPr>
        <w:tc>
          <w:tcPr>
            <w:tcW w:w="167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名称</w:t>
            </w:r>
            <w:r>
              <w:rPr>
                <w:rFonts w:ascii="宋体" w:hAnsi="宋体" w:cs="宋体"/>
              </w:rPr>
            </w:r>
            <w:r/>
          </w:p>
        </w:tc>
        <w:tc>
          <w:tcPr>
            <w:tcW w:w="164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规格型号</w:t>
            </w:r>
            <w:r>
              <w:rPr>
                <w:rFonts w:ascii="宋体" w:hAnsi="宋体" w:cs="宋体"/>
              </w:rPr>
            </w:r>
            <w:r/>
          </w:p>
        </w:tc>
        <w:tc>
          <w:tcPr>
            <w:tcW w:w="123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数量</w:t>
            </w:r>
            <w:r>
              <w:rPr>
                <w:rFonts w:ascii="宋体" w:hAnsi="宋体" w:cs="宋体"/>
              </w:rPr>
            </w:r>
            <w:r/>
          </w:p>
        </w:tc>
        <w:tc>
          <w:tcPr>
            <w:tcW w:w="144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单位</w:t>
            </w:r>
            <w:r>
              <w:rPr>
                <w:rFonts w:ascii="宋体" w:hAnsi="宋体" w:cs="宋体"/>
              </w:rPr>
            </w:r>
            <w:r/>
          </w:p>
        </w:tc>
        <w:tc>
          <w:tcPr>
            <w:tcW w:w="1854"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制造商</w:t>
            </w:r>
            <w:r>
              <w:rPr>
                <w:rFonts w:ascii="宋体" w:hAnsi="宋体" w:cs="宋体"/>
              </w:rPr>
            </w:r>
            <w:r/>
          </w:p>
        </w:tc>
        <w:tc>
          <w:tcPr>
            <w:tcW w:w="206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备注（</w:t>
            </w:r>
            <w:r>
              <w:rPr>
                <w:rFonts w:hint="eastAsia" w:ascii="宋体" w:hAnsi="宋体" w:eastAsia="宋体" w:cs="宋体"/>
                <w:color w:val="000000"/>
                <w:sz w:val="21"/>
                <w:szCs w:val="21"/>
              </w:rPr>
              <w:t xml:space="preserve">自有、租赁或中标后配置）</w:t>
            </w:r>
            <w:r>
              <w:rPr>
                <w:rFonts w:ascii="宋体" w:hAnsi="宋体" w:cs="宋体"/>
              </w:rPr>
            </w:r>
            <w:r/>
          </w:p>
        </w:tc>
      </w:tr>
      <w:tr>
        <w:trPr>
          <w:trHeight w:val="454"/>
        </w:trPr>
        <w:tc>
          <w:tcPr>
            <w:tcW w:w="167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一</w:t>
            </w:r>
            <w:r>
              <w:rPr>
                <w:rFonts w:ascii="宋体" w:hAnsi="宋体" w:cs="宋体"/>
              </w:rPr>
            </w:r>
            <w:r/>
          </w:p>
        </w:tc>
        <w:tc>
          <w:tcPr>
            <w:tcW w:w="164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23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44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854"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206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r>
      <w:tr>
        <w:trPr>
          <w:trHeight w:val="454"/>
        </w:trPr>
        <w:tc>
          <w:tcPr>
            <w:tcW w:w="167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1</w:t>
            </w:r>
            <w:r>
              <w:rPr>
                <w:rFonts w:ascii="宋体" w:hAnsi="宋体" w:cs="宋体"/>
              </w:rPr>
            </w:r>
            <w:r/>
          </w:p>
        </w:tc>
        <w:tc>
          <w:tcPr>
            <w:tcW w:w="164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23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44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854"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206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r>
      <w:tr>
        <w:trPr>
          <w:trHeight w:val="454"/>
        </w:trPr>
        <w:tc>
          <w:tcPr>
            <w:tcW w:w="167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w:t>
            </w:r>
            <w:r>
              <w:rPr>
                <w:rFonts w:ascii="宋体" w:hAnsi="宋体" w:cs="宋体"/>
              </w:rPr>
            </w:r>
            <w:r/>
          </w:p>
        </w:tc>
        <w:tc>
          <w:tcPr>
            <w:tcW w:w="164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23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44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854"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206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r>
      <w:tr>
        <w:trPr>
          <w:trHeight w:val="454"/>
        </w:trPr>
        <w:tc>
          <w:tcPr>
            <w:tcW w:w="167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3</w:t>
            </w:r>
            <w:r>
              <w:rPr>
                <w:rFonts w:ascii="宋体" w:hAnsi="宋体" w:cs="宋体"/>
              </w:rPr>
            </w:r>
            <w:r/>
          </w:p>
        </w:tc>
        <w:tc>
          <w:tcPr>
            <w:tcW w:w="164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23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44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854"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206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r>
      <w:tr>
        <w:trPr>
          <w:trHeight w:val="454"/>
        </w:trPr>
        <w:tc>
          <w:tcPr>
            <w:tcW w:w="167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二</w:t>
            </w:r>
            <w:r>
              <w:rPr>
                <w:rFonts w:ascii="宋体" w:hAnsi="宋体" w:cs="宋体"/>
              </w:rPr>
            </w:r>
            <w:r/>
          </w:p>
        </w:tc>
        <w:tc>
          <w:tcPr>
            <w:tcW w:w="164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23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44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854"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206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r>
      <w:tr>
        <w:trPr>
          <w:trHeight w:val="454"/>
        </w:trPr>
        <w:tc>
          <w:tcPr>
            <w:tcW w:w="167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1</w:t>
            </w:r>
            <w:r>
              <w:rPr>
                <w:rFonts w:ascii="宋体" w:hAnsi="宋体" w:cs="宋体"/>
              </w:rPr>
            </w:r>
            <w:r/>
          </w:p>
        </w:tc>
        <w:tc>
          <w:tcPr>
            <w:tcW w:w="164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23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44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854"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206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r>
      <w:tr>
        <w:trPr>
          <w:trHeight w:val="454"/>
        </w:trPr>
        <w:tc>
          <w:tcPr>
            <w:tcW w:w="167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w:t>
            </w:r>
            <w:r>
              <w:rPr>
                <w:rFonts w:ascii="宋体" w:hAnsi="宋体" w:cs="宋体"/>
              </w:rPr>
            </w:r>
            <w:r/>
          </w:p>
        </w:tc>
        <w:tc>
          <w:tcPr>
            <w:tcW w:w="164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23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44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854"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206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r>
      <w:tr>
        <w:trPr>
          <w:trHeight w:val="454"/>
        </w:trPr>
        <w:tc>
          <w:tcPr>
            <w:tcW w:w="1671" w:type="dxa"/>
            <w:vAlign w:val="center"/>
            <w:textDirection w:val="lrTb"/>
            <w:noWrap w:val="false"/>
          </w:tcPr>
          <w:p>
            <w:pPr>
              <w:pStyle w:val="859"/>
              <w:jc w:val="center"/>
              <w:spacing w:line="440" w:lineRule="exact"/>
              <w:rPr>
                <w:rFonts w:ascii="宋体" w:hAnsi="宋体" w:cs="宋体"/>
                <w:color w:val="000000"/>
                <w:sz w:val="21"/>
                <w:szCs w:val="21"/>
              </w:rPr>
            </w:pPr>
            <w:r>
              <w:rPr>
                <w:rFonts w:hint="eastAsia" w:ascii="宋体" w:hAnsi="宋体" w:cs="宋体"/>
                <w:color w:val="000000"/>
                <w:sz w:val="21"/>
                <w:szCs w:val="21"/>
              </w:rPr>
              <w:t xml:space="preserve">......</w:t>
            </w:r>
            <w:r>
              <w:rPr>
                <w:rFonts w:ascii="宋体" w:hAnsi="宋体" w:cs="宋体"/>
              </w:rPr>
            </w:r>
            <w:r/>
          </w:p>
        </w:tc>
        <w:tc>
          <w:tcPr>
            <w:tcW w:w="164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23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44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854"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206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r>
      <w:tr>
        <w:trPr>
          <w:trHeight w:val="454"/>
        </w:trPr>
        <w:tc>
          <w:tcPr>
            <w:tcW w:w="167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三</w:t>
            </w:r>
            <w:r>
              <w:rPr>
                <w:rFonts w:ascii="宋体" w:hAnsi="宋体" w:cs="宋体"/>
              </w:rPr>
            </w:r>
            <w:r/>
          </w:p>
        </w:tc>
        <w:tc>
          <w:tcPr>
            <w:tcW w:w="164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23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44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854"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206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r>
      <w:tr>
        <w:trPr>
          <w:trHeight w:val="454"/>
        </w:trPr>
        <w:tc>
          <w:tcPr>
            <w:tcW w:w="167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w:t>
            </w:r>
            <w:r>
              <w:rPr>
                <w:rFonts w:ascii="宋体" w:hAnsi="宋体" w:cs="宋体"/>
              </w:rPr>
            </w:r>
            <w:r/>
          </w:p>
        </w:tc>
        <w:tc>
          <w:tcPr>
            <w:tcW w:w="164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23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44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854"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206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r>
      <w:tr>
        <w:trPr>
          <w:trHeight w:val="454"/>
        </w:trPr>
        <w:tc>
          <w:tcPr>
            <w:tcW w:w="167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四</w:t>
            </w:r>
            <w:r>
              <w:rPr>
                <w:rFonts w:ascii="宋体" w:hAnsi="宋体" w:cs="宋体"/>
              </w:rPr>
            </w:r>
            <w:r/>
          </w:p>
        </w:tc>
        <w:tc>
          <w:tcPr>
            <w:tcW w:w="164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23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44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854"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206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r>
      <w:tr>
        <w:trPr>
          <w:trHeight w:val="454"/>
        </w:trPr>
        <w:tc>
          <w:tcPr>
            <w:tcW w:w="167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w:t>
            </w:r>
            <w:r>
              <w:rPr>
                <w:rFonts w:ascii="宋体" w:hAnsi="宋体" w:cs="宋体"/>
              </w:rPr>
            </w:r>
            <w:r/>
          </w:p>
        </w:tc>
        <w:tc>
          <w:tcPr>
            <w:tcW w:w="164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23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44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854"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206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r>
      <w:tr>
        <w:trPr>
          <w:trHeight w:val="454"/>
        </w:trPr>
        <w:tc>
          <w:tcPr>
            <w:tcW w:w="167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w:t>
            </w:r>
            <w:r>
              <w:rPr>
                <w:rFonts w:ascii="宋体" w:hAnsi="宋体" w:cs="宋体"/>
              </w:rPr>
            </w:r>
            <w:r/>
          </w:p>
        </w:tc>
        <w:tc>
          <w:tcPr>
            <w:tcW w:w="164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23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44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854"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206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r>
      <w:tr>
        <w:trPr>
          <w:trHeight w:val="454"/>
        </w:trPr>
        <w:tc>
          <w:tcPr>
            <w:tcW w:w="167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合计</w:t>
            </w:r>
            <w:r>
              <w:rPr>
                <w:rFonts w:ascii="宋体" w:hAnsi="宋体" w:cs="宋体"/>
              </w:rPr>
            </w:r>
            <w:r/>
          </w:p>
        </w:tc>
        <w:tc>
          <w:tcPr>
            <w:tcW w:w="164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235"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44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1854"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206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r>
    </w:tbl>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注：请各投标单位按上述格式自制《主要</w:t>
      </w:r>
      <w:r>
        <w:rPr>
          <w:rFonts w:hint="eastAsia" w:ascii="宋体" w:hAnsi="宋体" w:eastAsia="宋体" w:cs="宋体"/>
          <w:color w:val="000000"/>
          <w:sz w:val="21"/>
          <w:szCs w:val="21"/>
        </w:rPr>
        <w:t xml:space="preserve">设备及设施</w:t>
      </w:r>
      <w:r>
        <w:rPr>
          <w:rFonts w:hint="eastAsia" w:ascii="宋体" w:hAnsi="宋体" w:eastAsia="宋体" w:cs="宋体"/>
          <w:color w:val="000000"/>
          <w:sz w:val="21"/>
          <w:szCs w:val="21"/>
          <w:lang w:val="zh-CN"/>
        </w:rPr>
        <w:t xml:space="preserve">一览表》投标。</w:t>
      </w:r>
      <w:r>
        <w:rPr>
          <w:rFonts w:ascii="宋体" w:hAnsi="宋体" w:cs="宋体"/>
        </w:rPr>
      </w:r>
      <w:r/>
    </w:p>
    <w:p>
      <w:pPr>
        <w:pStyle w:val="859"/>
        <w:spacing w:line="440" w:lineRule="exact"/>
        <w:shd w:val="clear" w:color="auto" w:fill="ffffff"/>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59"/>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投标方：（单位盖章）</w:t>
      </w:r>
      <w:r>
        <w:rPr>
          <w:rFonts w:ascii="宋体" w:hAnsi="宋体" w:cs="宋体"/>
        </w:rPr>
      </w:r>
      <w:r/>
    </w:p>
    <w:p>
      <w:pPr>
        <w:pStyle w:val="859"/>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59"/>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cs="宋体"/>
        </w:rPr>
      </w:r>
      <w:r/>
    </w:p>
    <w:p>
      <w:pPr>
        <w:pStyle w:val="859"/>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59"/>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59"/>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59"/>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59"/>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59"/>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59"/>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59"/>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59"/>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ind w:firstLine="480"/>
        <w:spacing w:line="360" w:lineRule="auto"/>
        <w:rPr>
          <w:rFonts w:ascii="宋体" w:hAnsi="宋体" w:cs="宋体"/>
          <w:color w:val="000000"/>
        </w:rPr>
      </w:pPr>
      <w:r>
        <w:rPr>
          <w:rFonts w:ascii="宋体" w:hAnsi="宋体" w:cs="宋体"/>
          <w:color w:val="000000"/>
          <w:szCs w:val="22"/>
        </w:rPr>
      </w:r>
      <w:r>
        <w:rPr>
          <w:rFonts w:ascii="宋体" w:hAnsi="宋体" w:cs="宋体"/>
          <w:color w:val="000000"/>
          <w:szCs w:val="22"/>
        </w:rPr>
      </w:r>
      <w:r/>
    </w:p>
    <w:p>
      <w:pPr>
        <w:pStyle w:val="859"/>
        <w:ind w:firstLine="480"/>
        <w:spacing w:line="360" w:lineRule="auto"/>
        <w:rPr>
          <w:rFonts w:ascii="宋体" w:hAnsi="宋体" w:cs="宋体"/>
          <w:color w:val="000000"/>
        </w:rPr>
      </w:pPr>
      <w:r>
        <w:rPr>
          <w:rFonts w:ascii="宋体" w:hAnsi="宋体" w:cs="宋体"/>
          <w:color w:val="000000"/>
          <w:szCs w:val="22"/>
        </w:rPr>
      </w:r>
      <w:r>
        <w:rPr>
          <w:rFonts w:ascii="宋体" w:hAnsi="宋体" w:cs="宋体"/>
        </w:rPr>
      </w:r>
      <w:r/>
    </w:p>
    <w:p>
      <w:pPr>
        <w:pStyle w:val="859"/>
        <w:rPr>
          <w:rFonts w:ascii="宋体" w:hAnsi="宋体" w:cs="宋体"/>
          <w:color w:val="000000"/>
        </w:rPr>
      </w:pPr>
      <w:r>
        <w:rPr>
          <w:rFonts w:ascii="宋体" w:hAnsi="宋体" w:cs="宋体"/>
          <w:color w:val="000000"/>
        </w:rPr>
      </w:r>
      <w:r>
        <w:rPr>
          <w:rFonts w:ascii="宋体" w:hAnsi="宋体" w:cs="宋体"/>
        </w:rPr>
      </w:r>
      <w:r/>
    </w:p>
    <w:p>
      <w:pPr>
        <w:pStyle w:val="859"/>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59"/>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59"/>
        <w:spacing w:line="48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4.</w:t>
      </w:r>
      <w:r>
        <w:rPr>
          <w:rFonts w:hint="eastAsia" w:ascii="宋体" w:hAnsi="宋体" w:eastAsia="宋体" w:cs="宋体"/>
          <w:b/>
          <w:bCs/>
          <w:color w:val="000000"/>
          <w:sz w:val="21"/>
          <w:szCs w:val="21"/>
          <w:lang w:val="zh-CN"/>
        </w:rPr>
        <w:t xml:space="preserve">针对本项目配置的人员情况介绍</w:t>
      </w:r>
      <w:r>
        <w:rPr>
          <w:rFonts w:ascii="宋体" w:hAnsi="宋体" w:cs="宋体"/>
        </w:rPr>
      </w:r>
      <w:r/>
    </w:p>
    <w:p>
      <w:pPr>
        <w:pStyle w:val="859"/>
        <w:jc w:val="center"/>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针对本项目配置的人员情况介绍表</w:t>
      </w:r>
      <w:r>
        <w:rPr>
          <w:rFonts w:ascii="宋体" w:hAnsi="宋体" w:cs="宋体"/>
        </w:rPr>
      </w:r>
      <w:r/>
    </w:p>
    <w:p>
      <w:pPr>
        <w:pStyle w:val="859"/>
        <w:jc w:val="center"/>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（格式）</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874"/>
        <w:gridCol w:w="920"/>
        <w:gridCol w:w="920"/>
        <w:gridCol w:w="921"/>
        <w:gridCol w:w="1697"/>
        <w:gridCol w:w="1698"/>
        <w:gridCol w:w="1154"/>
      </w:tblGrid>
      <w:tr>
        <w:trPr>
          <w:trHeight w:val="454"/>
        </w:trPr>
        <w:tc>
          <w:tcPr>
            <w:tcW w:w="934"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序号</w:t>
            </w:r>
            <w:r>
              <w:rPr>
                <w:rFonts w:ascii="宋体" w:hAnsi="宋体" w:cs="宋体"/>
              </w:rPr>
            </w:r>
            <w:r/>
          </w:p>
        </w:tc>
        <w:tc>
          <w:tcPr>
            <w:tcW w:w="1874"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在本项目中负责的岗位</w:t>
            </w:r>
            <w:r>
              <w:rPr>
                <w:rFonts w:ascii="宋体" w:hAnsi="宋体" w:cs="宋体"/>
              </w:rPr>
            </w:r>
            <w:r/>
          </w:p>
        </w:tc>
        <w:tc>
          <w:tcPr>
            <w:tcW w:w="92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姓名</w:t>
            </w:r>
            <w:r>
              <w:rPr>
                <w:rFonts w:ascii="宋体" w:hAnsi="宋体" w:cs="宋体"/>
              </w:rPr>
            </w:r>
            <w:r/>
          </w:p>
        </w:tc>
        <w:tc>
          <w:tcPr>
            <w:tcW w:w="92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性别</w:t>
            </w:r>
            <w:r>
              <w:rPr>
                <w:rFonts w:ascii="宋体" w:hAnsi="宋体" w:cs="宋体"/>
              </w:rPr>
            </w:r>
            <w:r/>
          </w:p>
        </w:tc>
        <w:tc>
          <w:tcPr>
            <w:tcW w:w="92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年龄</w:t>
            </w:r>
            <w:r>
              <w:rPr>
                <w:rFonts w:ascii="宋体" w:hAnsi="宋体" w:cs="宋体"/>
              </w:rPr>
            </w:r>
            <w:r/>
          </w:p>
        </w:tc>
        <w:tc>
          <w:tcPr>
            <w:tcW w:w="1697"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学历</w:t>
            </w:r>
            <w:r>
              <w:rPr>
                <w:rFonts w:ascii="宋体" w:hAnsi="宋体" w:cs="宋体"/>
              </w:rPr>
            </w:r>
            <w:r/>
          </w:p>
        </w:tc>
        <w:tc>
          <w:tcPr>
            <w:tcW w:w="1698"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职称</w:t>
            </w:r>
            <w:r>
              <w:rPr>
                <w:rFonts w:ascii="宋体" w:hAnsi="宋体" w:cs="宋体"/>
              </w:rPr>
            </w:r>
            <w:r/>
          </w:p>
        </w:tc>
        <w:tc>
          <w:tcPr>
            <w:tcW w:w="1154"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备注</w:t>
            </w:r>
            <w:r>
              <w:rPr>
                <w:rFonts w:ascii="宋体" w:hAnsi="宋体" w:cs="宋体"/>
              </w:rPr>
            </w:r>
            <w:r/>
          </w:p>
        </w:tc>
      </w:tr>
      <w:tr>
        <w:trPr>
          <w:cantSplit/>
          <w:trHeight w:val="454"/>
        </w:trPr>
        <w:tc>
          <w:tcPr>
            <w:tcW w:w="934"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74"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0"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0"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1"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7"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8"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54"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cantSplit/>
          <w:trHeight w:val="454"/>
        </w:trPr>
        <w:tc>
          <w:tcPr>
            <w:tcW w:w="934"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74"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0"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0"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1"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7"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8"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54"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cantSplit/>
          <w:trHeight w:val="454"/>
        </w:trPr>
        <w:tc>
          <w:tcPr>
            <w:tcW w:w="934"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74"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0"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0"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1"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7"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8"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54"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cantSplit/>
          <w:trHeight w:val="454"/>
        </w:trPr>
        <w:tc>
          <w:tcPr>
            <w:tcW w:w="934"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74"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0"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0"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1"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7"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8"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54"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cantSplit/>
          <w:trHeight w:val="454"/>
        </w:trPr>
        <w:tc>
          <w:tcPr>
            <w:tcW w:w="934"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74"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920"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0"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1"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7"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8"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54"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cantSplit/>
          <w:trHeight w:val="454"/>
        </w:trPr>
        <w:tc>
          <w:tcPr>
            <w:tcW w:w="934"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74"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tc>
        <w:tc>
          <w:tcPr>
            <w:tcW w:w="920"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0"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1"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7"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8"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54"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cantSplit/>
          <w:trHeight w:val="454"/>
        </w:trPr>
        <w:tc>
          <w:tcPr>
            <w:tcW w:w="934"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74"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0"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0"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1"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7"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8"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54"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cantSplit/>
          <w:trHeight w:val="454"/>
        </w:trPr>
        <w:tc>
          <w:tcPr>
            <w:tcW w:w="934"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74"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0"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0"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1"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7"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8"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54"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cantSplit/>
          <w:trHeight w:val="454"/>
        </w:trPr>
        <w:tc>
          <w:tcPr>
            <w:tcW w:w="934"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74"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0"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0"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921"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7"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98"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54"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bl>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注：投标单位可参照上述格式自制《针对本项目配置的人员情况介绍表》投标。</w:t>
      </w:r>
      <w:r>
        <w:rPr>
          <w:rFonts w:ascii="宋体" w:hAnsi="宋体" w:cs="宋体"/>
        </w:rPr>
      </w:r>
      <w:r/>
    </w:p>
    <w:p>
      <w:pPr>
        <w:pStyle w:val="859"/>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投标方：（单位盖章）</w:t>
      </w:r>
      <w:r>
        <w:rPr>
          <w:rFonts w:ascii="宋体" w:hAnsi="宋体" w:cs="宋体"/>
        </w:rPr>
      </w:r>
      <w:r/>
    </w:p>
    <w:p>
      <w:pPr>
        <w:pStyle w:val="859"/>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59"/>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cs="宋体"/>
        </w:rPr>
      </w:r>
      <w:r/>
    </w:p>
    <w:p>
      <w:pPr>
        <w:pStyle w:val="859"/>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ind w:firstLine="422"/>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ind w:firstLine="422"/>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ind w:firstLine="422"/>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ind w:firstLine="480"/>
        <w:spacing w:line="360" w:lineRule="auto"/>
        <w:rPr>
          <w:rFonts w:hint="eastAsia" w:ascii="宋体" w:hAnsi="宋体" w:cs="宋体"/>
          <w:color w:val="000000"/>
          <w:szCs w:val="22"/>
        </w:rPr>
      </w:pPr>
      <w:r>
        <w:rPr>
          <w:rFonts w:hint="eastAsia" w:ascii="宋体" w:hAnsi="宋体" w:cs="宋体"/>
          <w:color w:val="000000"/>
          <w:szCs w:val="22"/>
        </w:rPr>
      </w:r>
      <w:r>
        <w:rPr>
          <w:rFonts w:ascii="宋体" w:hAnsi="宋体" w:cs="宋体"/>
        </w:rPr>
      </w:r>
      <w:r/>
    </w:p>
    <w:p>
      <w:pPr>
        <w:pStyle w:val="859"/>
        <w:ind w:firstLine="422"/>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ind w:firstLine="422"/>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859"/>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ind w:firstLine="422"/>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859"/>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ind w:left="480" w:firstLine="420"/>
        <w:spacing w:after="120"/>
        <w:rPr>
          <w:rFonts w:hint="eastAsia" w:ascii="宋体" w:hAnsi="宋体" w:cs="宋体"/>
          <w:color w:val="000000"/>
          <w:sz w:val="21"/>
        </w:rPr>
      </w:pPr>
      <w:r>
        <w:rPr>
          <w:rFonts w:hint="eastAsia" w:ascii="宋体" w:hAnsi="宋体" w:cs="宋体"/>
          <w:color w:val="000000"/>
          <w:sz w:val="21"/>
        </w:rPr>
      </w:r>
      <w:r>
        <w:rPr>
          <w:rFonts w:ascii="宋体" w:hAnsi="宋体" w:cs="宋体"/>
        </w:rPr>
      </w:r>
      <w:r/>
    </w:p>
    <w:p>
      <w:pPr>
        <w:pStyle w:val="859"/>
        <w:spacing w:line="48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附件</w:t>
      </w:r>
      <w:r>
        <w:rPr>
          <w:rFonts w:hint="eastAsia" w:ascii="宋体" w:hAnsi="宋体" w:cs="宋体"/>
          <w:b/>
          <w:bCs/>
          <w:color w:val="000000"/>
          <w:sz w:val="21"/>
          <w:szCs w:val="21"/>
        </w:rPr>
        <w:t xml:space="preserve">5</w:t>
      </w:r>
      <w:r>
        <w:rPr>
          <w:rFonts w:hint="eastAsia" w:ascii="宋体" w:hAnsi="宋体" w:eastAsia="宋体" w:cs="宋体"/>
          <w:b/>
          <w:bCs/>
          <w:color w:val="000000"/>
          <w:sz w:val="21"/>
          <w:szCs w:val="21"/>
          <w:lang w:val="zh-CN"/>
        </w:rPr>
        <w:t xml:space="preserve">、类似项目业绩一览表</w:t>
      </w:r>
      <w:r>
        <w:rPr>
          <w:rFonts w:ascii="宋体" w:hAnsi="宋体" w:cs="宋体"/>
        </w:rPr>
      </w:r>
      <w:r/>
    </w:p>
    <w:p>
      <w:pPr>
        <w:pStyle w:val="859"/>
        <w:jc w:val="center"/>
        <w:spacing w:line="48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类似项目业绩一览表</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663"/>
        <w:gridCol w:w="2159"/>
        <w:gridCol w:w="1822"/>
        <w:gridCol w:w="2183"/>
        <w:gridCol w:w="1473"/>
      </w:tblGrid>
      <w:tr>
        <w:trPr/>
        <w:tc>
          <w:tcPr>
            <w:tcW w:w="818"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序号</w:t>
            </w:r>
            <w:r>
              <w:rPr>
                <w:rFonts w:ascii="宋体" w:hAnsi="宋体" w:cs="宋体"/>
              </w:rPr>
            </w:r>
            <w:r/>
          </w:p>
        </w:tc>
        <w:tc>
          <w:tcPr>
            <w:tcW w:w="166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项目名称</w:t>
            </w:r>
            <w:r>
              <w:rPr>
                <w:rFonts w:ascii="宋体" w:hAnsi="宋体" w:cs="宋体"/>
              </w:rPr>
            </w:r>
            <w:r/>
          </w:p>
        </w:tc>
        <w:tc>
          <w:tcPr>
            <w:tcW w:w="2159" w:type="dxa"/>
            <w:vAlign w:val="center"/>
            <w:textDirection w:val="lrTb"/>
            <w:noWrap w:val="false"/>
          </w:tcPr>
          <w:p>
            <w:pPr>
              <w:pStyle w:val="859"/>
              <w:jc w:val="center"/>
              <w:spacing w:line="440" w:lineRule="exact"/>
              <w:tabs>
                <w:tab w:val="left" w:pos="6252"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项目时间</w:t>
            </w:r>
            <w:r>
              <w:rPr>
                <w:rFonts w:ascii="宋体" w:hAnsi="宋体" w:cs="宋体"/>
              </w:rPr>
            </w:r>
            <w:r/>
          </w:p>
          <w:p>
            <w:pPr>
              <w:pStyle w:val="859"/>
              <w:jc w:val="center"/>
              <w:spacing w:line="440" w:lineRule="exact"/>
              <w:tabs>
                <w:tab w:val="left" w:pos="6252"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（合同签订时间）</w:t>
            </w:r>
            <w:r>
              <w:rPr>
                <w:rFonts w:ascii="宋体" w:hAnsi="宋体" w:cs="宋体"/>
              </w:rPr>
            </w:r>
            <w:r/>
          </w:p>
        </w:tc>
        <w:tc>
          <w:tcPr>
            <w:tcW w:w="1822" w:type="dxa"/>
            <w:vAlign w:val="center"/>
            <w:textDirection w:val="lrTb"/>
            <w:noWrap w:val="false"/>
          </w:tcPr>
          <w:p>
            <w:pPr>
              <w:pStyle w:val="859"/>
              <w:jc w:val="center"/>
              <w:spacing w:line="440" w:lineRule="exact"/>
              <w:tabs>
                <w:tab w:val="left" w:pos="6252"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合同金额</w:t>
            </w:r>
            <w:r>
              <w:rPr>
                <w:rFonts w:ascii="宋体" w:hAnsi="宋体" w:cs="宋体"/>
              </w:rPr>
            </w:r>
            <w:r/>
          </w:p>
          <w:p>
            <w:pPr>
              <w:pStyle w:val="859"/>
              <w:jc w:val="center"/>
              <w:spacing w:line="440" w:lineRule="exact"/>
              <w:tabs>
                <w:tab w:val="left" w:pos="6252"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（人民币元）</w:t>
            </w:r>
            <w:r>
              <w:rPr>
                <w:rFonts w:ascii="宋体" w:hAnsi="宋体" w:cs="宋体"/>
              </w:rPr>
            </w:r>
            <w:r/>
          </w:p>
        </w:tc>
        <w:tc>
          <w:tcPr>
            <w:tcW w:w="2183" w:type="dxa"/>
            <w:vAlign w:val="center"/>
            <w:textDirection w:val="lrTb"/>
            <w:noWrap w:val="false"/>
          </w:tcPr>
          <w:p>
            <w:pPr>
              <w:pStyle w:val="859"/>
              <w:jc w:val="center"/>
              <w:spacing w:line="440" w:lineRule="exact"/>
              <w:tabs>
                <w:tab w:val="left" w:pos="6252"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业主单位及联系电话</w:t>
            </w:r>
            <w:r>
              <w:rPr>
                <w:rFonts w:ascii="宋体" w:hAnsi="宋体" w:cs="宋体"/>
              </w:rPr>
            </w:r>
            <w:r/>
          </w:p>
        </w:tc>
        <w:tc>
          <w:tcPr>
            <w:tcW w:w="147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备注</w:t>
            </w:r>
            <w:r>
              <w:rPr>
                <w:rFonts w:ascii="宋体" w:hAnsi="宋体" w:cs="宋体"/>
              </w:rPr>
            </w:r>
            <w:r/>
          </w:p>
        </w:tc>
      </w:tr>
      <w:tr>
        <w:trPr>
          <w:trHeight w:val="567" w:hRule="exact"/>
        </w:trPr>
        <w:tc>
          <w:tcPr>
            <w:tcW w:w="818"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c>
          <w:tcPr>
            <w:tcW w:w="166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5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22"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8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47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rHeight w:val="567" w:hRule="exact"/>
        </w:trPr>
        <w:tc>
          <w:tcPr>
            <w:tcW w:w="818"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rPr>
            </w:r>
            <w:r/>
          </w:p>
        </w:tc>
        <w:tc>
          <w:tcPr>
            <w:tcW w:w="166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5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22"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8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47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rHeight w:val="567" w:hRule="exact"/>
        </w:trPr>
        <w:tc>
          <w:tcPr>
            <w:tcW w:w="818"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ascii="宋体" w:hAnsi="宋体" w:cs="宋体"/>
              </w:rPr>
            </w:r>
            <w:r/>
          </w:p>
        </w:tc>
        <w:tc>
          <w:tcPr>
            <w:tcW w:w="166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5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22"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8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47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rHeight w:val="567" w:hRule="exact"/>
        </w:trPr>
        <w:tc>
          <w:tcPr>
            <w:tcW w:w="818"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ascii="宋体" w:hAnsi="宋体" w:cs="宋体"/>
              </w:rPr>
            </w:r>
            <w:r/>
          </w:p>
        </w:tc>
        <w:tc>
          <w:tcPr>
            <w:tcW w:w="166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5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22"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8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47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rHeight w:val="567" w:hRule="exact"/>
        </w:trPr>
        <w:tc>
          <w:tcPr>
            <w:tcW w:w="818"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ascii="宋体" w:hAnsi="宋体" w:cs="宋体"/>
              </w:rPr>
            </w:r>
            <w:r/>
          </w:p>
        </w:tc>
        <w:tc>
          <w:tcPr>
            <w:tcW w:w="166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5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22"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8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47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rHeight w:val="567" w:hRule="exact"/>
        </w:trPr>
        <w:tc>
          <w:tcPr>
            <w:tcW w:w="818"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w:t>
            </w:r>
            <w:r>
              <w:rPr>
                <w:rFonts w:ascii="宋体" w:hAnsi="宋体" w:cs="宋体"/>
              </w:rPr>
            </w:r>
            <w:r/>
          </w:p>
        </w:tc>
        <w:tc>
          <w:tcPr>
            <w:tcW w:w="166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5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22"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8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47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rHeight w:val="567" w:hRule="exact"/>
        </w:trPr>
        <w:tc>
          <w:tcPr>
            <w:tcW w:w="818"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w:t>
            </w:r>
            <w:r>
              <w:rPr>
                <w:rFonts w:ascii="宋体" w:hAnsi="宋体" w:cs="宋体"/>
              </w:rPr>
            </w:r>
            <w:r/>
          </w:p>
        </w:tc>
        <w:tc>
          <w:tcPr>
            <w:tcW w:w="166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5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22"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8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47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rHeight w:val="567" w:hRule="exact"/>
        </w:trPr>
        <w:tc>
          <w:tcPr>
            <w:tcW w:w="818"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6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5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22"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8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47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rHeight w:val="567" w:hRule="exact"/>
        </w:trPr>
        <w:tc>
          <w:tcPr>
            <w:tcW w:w="818"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66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5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822"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18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473"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bl>
    <w:p>
      <w:pPr>
        <w:pStyle w:val="859"/>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投标方：（单位盖章）</w:t>
      </w:r>
      <w:r>
        <w:rPr>
          <w:rFonts w:ascii="宋体" w:hAnsi="宋体" w:cs="宋体"/>
        </w:rPr>
      </w:r>
      <w:r/>
    </w:p>
    <w:p>
      <w:pPr>
        <w:pStyle w:val="859"/>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59"/>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cs="宋体"/>
        </w:rPr>
      </w:r>
      <w:r/>
    </w:p>
    <w:p>
      <w:pPr>
        <w:pStyle w:val="859"/>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927"/>
        <w:ind w:left="480"/>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927"/>
        <w:ind w:left="480"/>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927"/>
        <w:ind w:left="480"/>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927"/>
        <w:ind w:left="480"/>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927"/>
        <w:ind w:left="480"/>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927"/>
        <w:ind w:left="480"/>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927"/>
        <w:ind w:left="480"/>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927"/>
        <w:ind w:left="480"/>
        <w:rPr>
          <w:rFonts w:hint="eastAsia" w:ascii="宋体" w:hAnsi="宋体" w:cs="宋体"/>
          <w:color w:val="000000"/>
        </w:rPr>
      </w:pPr>
      <w:r>
        <w:rPr>
          <w:rFonts w:hint="eastAsia" w:ascii="宋体" w:hAnsi="宋体" w:cs="宋体"/>
          <w:color w:val="000000"/>
        </w:rPr>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附件</w:t>
      </w:r>
      <w:r>
        <w:rPr>
          <w:rFonts w:hint="eastAsia" w:ascii="宋体" w:hAnsi="宋体" w:cs="宋体"/>
          <w:b/>
          <w:bCs/>
          <w:color w:val="000000"/>
          <w:sz w:val="21"/>
          <w:szCs w:val="21"/>
        </w:rPr>
        <w:t xml:space="preserve">6</w:t>
      </w:r>
      <w:r>
        <w:rPr>
          <w:rFonts w:hint="eastAsia" w:ascii="宋体" w:hAnsi="宋体" w:eastAsia="宋体" w:cs="宋体"/>
          <w:b/>
          <w:bCs/>
          <w:color w:val="000000"/>
          <w:sz w:val="21"/>
          <w:szCs w:val="21"/>
          <w:lang w:val="zh-CN"/>
        </w:rPr>
        <w:t xml:space="preserve">、资格证明文件（格式为参考，投标单位可参照下述格式自制表格投标，但至少应包括下述格式中的内容，没有参考格式的则可根据情况自行编制）</w:t>
      </w:r>
      <w:r>
        <w:rPr>
          <w:rFonts w:ascii="宋体" w:hAnsi="宋体" w:cs="宋体"/>
        </w:rPr>
      </w:r>
      <w:r/>
    </w:p>
    <w:p>
      <w:pPr>
        <w:pStyle w:val="859"/>
        <w:jc w:val="left"/>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1.关于资格文件的声明函</w:t>
      </w:r>
      <w:r>
        <w:rPr>
          <w:rFonts w:ascii="宋体" w:hAnsi="宋体" w:cs="宋体"/>
        </w:rPr>
      </w:r>
      <w:r/>
    </w:p>
    <w:p>
      <w:pPr>
        <w:pStyle w:val="859"/>
        <w:jc w:val="left"/>
        <w:spacing w:line="360" w:lineRule="auto"/>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p>
      <w:pPr>
        <w:pStyle w:val="859"/>
        <w:ind w:firstLine="420"/>
        <w:jc w:val="center"/>
        <w:spacing w:line="360" w:lineRule="auto"/>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关于资格文件的声明函</w:t>
      </w:r>
      <w:r>
        <w:rPr>
          <w:rFonts w:ascii="宋体" w:hAnsi="宋体" w:cs="宋体"/>
        </w:rPr>
      </w:r>
      <w:r/>
    </w:p>
    <w:p>
      <w:pPr>
        <w:pStyle w:val="859"/>
        <w:ind w:firstLine="420"/>
        <w:jc w:val="center"/>
        <w:spacing w:line="360" w:lineRule="auto"/>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p>
      <w:pPr>
        <w:pStyle w:val="859"/>
        <w:spacing w:line="440" w:lineRule="exact"/>
        <w:rPr>
          <w:rFonts w:hint="eastAsia" w:ascii="宋体" w:hAnsi="宋体" w:cs="宋体"/>
          <w:color w:val="000000"/>
          <w:sz w:val="21"/>
          <w:szCs w:val="21"/>
        </w:rPr>
      </w:pPr>
      <w:r>
        <w:rPr>
          <w:rFonts w:hint="eastAsia" w:ascii="宋体" w:hAnsi="宋体" w:eastAsia="宋体" w:cs="宋体"/>
          <w:color w:val="000000"/>
          <w:sz w:val="21"/>
          <w:szCs w:val="21"/>
          <w:u w:val="single"/>
        </w:rPr>
        <w:t xml:space="preserve">苏州欣禾诚工程咨询服务有限公司</w:t>
      </w:r>
      <w:r>
        <w:rPr>
          <w:rFonts w:hint="eastAsia" w:ascii="宋体" w:hAnsi="宋体" w:eastAsia="宋体" w:cs="宋体"/>
          <w:color w:val="000000"/>
          <w:sz w:val="21"/>
          <w:szCs w:val="21"/>
        </w:rPr>
        <w:t xml:space="preserve">：</w:t>
      </w:r>
      <w:r>
        <w:rPr>
          <w:rFonts w:ascii="宋体" w:hAnsi="宋体" w:cs="宋体"/>
        </w:rPr>
      </w:r>
      <w:r/>
    </w:p>
    <w:p>
      <w:pPr>
        <w:pStyle w:val="877"/>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本公司愿就由贵公司组织实施的编号为</w:t>
      </w:r>
      <w:r>
        <w:rPr>
          <w:rFonts w:hint="eastAsia" w:ascii="宋体" w:hAnsi="宋体" w:eastAsia="宋体" w:cs="宋体"/>
          <w:color w:val="000000"/>
          <w:sz w:val="21"/>
          <w:szCs w:val="21"/>
          <w:u w:val="single"/>
        </w:rPr>
        <w:t xml:space="preserve">JSZC-320509-SXHC-G2025-002</w:t>
      </w:r>
      <w:r>
        <w:rPr>
          <w:rFonts w:hint="eastAsia" w:ascii="宋体" w:hAnsi="宋体" w:eastAsia="宋体" w:cs="宋体"/>
          <w:color w:val="000000"/>
          <w:sz w:val="21"/>
          <w:szCs w:val="21"/>
          <w:u w:val="single"/>
          <w:lang w:val="en-US" w:eastAsia="zh-CN"/>
        </w:rPr>
        <w:t xml:space="preserve">3</w:t>
      </w:r>
      <w:r>
        <w:rPr>
          <w:rFonts w:hint="eastAsia" w:ascii="宋体" w:hAnsi="宋体" w:eastAsia="宋体" w:cs="宋体"/>
          <w:color w:val="000000"/>
          <w:sz w:val="21"/>
          <w:szCs w:val="21"/>
        </w:rPr>
        <w:t xml:space="preserve">号的采购活动进行投标。本公司所提交的投标文件中所有关于投标资格的文件、证明和陈述均是真实的、准确的、有效的。本公司愿意提供招标文件中要求的所有资料，本公司承诺我单位符合招标文件中“</w:t>
      </w:r>
      <w:r>
        <w:rPr>
          <w:rFonts w:hint="eastAsia" w:ascii="宋体" w:hAnsi="宋体" w:eastAsia="宋体" w:cs="宋体"/>
          <w:bCs/>
          <w:color w:val="000000"/>
          <w:sz w:val="21"/>
          <w:szCs w:val="21"/>
        </w:rPr>
        <w:t xml:space="preserve">申请人的资格要求</w:t>
      </w:r>
      <w:r>
        <w:rPr>
          <w:rFonts w:hint="eastAsia" w:ascii="宋体" w:hAnsi="宋体" w:eastAsia="宋体" w:cs="宋体"/>
          <w:color w:val="000000"/>
          <w:sz w:val="21"/>
          <w:szCs w:val="21"/>
        </w:rPr>
        <w:t xml:space="preserve">”的资格要求。若与真实情况不符，本公司愿意承担由此而产生的一切后果。</w:t>
      </w:r>
      <w:r>
        <w:rPr>
          <w:rFonts w:ascii="宋体" w:hAnsi="宋体" w:cs="宋体"/>
        </w:rPr>
      </w:r>
      <w:r/>
    </w:p>
    <w:p>
      <w:pPr>
        <w:pStyle w:val="859"/>
        <w:ind w:firstLine="4200"/>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p>
      <w:pPr>
        <w:pStyle w:val="859"/>
        <w:ind w:firstLine="4200"/>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p>
      <w:pPr>
        <w:pStyle w:val="859"/>
        <w:ind w:firstLine="4200"/>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p>
      <w:pPr>
        <w:pStyle w:val="859"/>
        <w:ind w:firstLine="420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投标单位：（单位盖章）             </w:t>
      </w:r>
      <w:r>
        <w:rPr>
          <w:rFonts w:ascii="宋体" w:hAnsi="宋体" w:cs="宋体"/>
        </w:rPr>
      </w:r>
      <w:r/>
    </w:p>
    <w:p>
      <w:pPr>
        <w:pStyle w:val="859"/>
        <w:ind w:firstLine="420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法定代表人或委托代理人：（签字或盖章）</w:t>
      </w:r>
      <w:r>
        <w:rPr>
          <w:rFonts w:ascii="宋体" w:hAnsi="宋体" w:cs="宋体"/>
        </w:rPr>
      </w:r>
      <w:r/>
    </w:p>
    <w:p>
      <w:pPr>
        <w:pStyle w:val="859"/>
        <w:ind w:firstLine="420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日期：</w:t>
      </w:r>
      <w:r>
        <w:rPr>
          <w:rFonts w:hint="eastAsia" w:ascii="宋体" w:hAnsi="宋体" w:cs="宋体"/>
          <w:color w:val="000000"/>
          <w:sz w:val="21"/>
          <w:szCs w:val="21"/>
        </w:rPr>
        <w:t xml:space="preserve">    </w:t>
      </w:r>
      <w:r>
        <w:rPr>
          <w:rFonts w:hint="eastAsia" w:ascii="宋体" w:hAnsi="宋体" w:eastAsia="宋体" w:cs="宋体"/>
          <w:color w:val="000000"/>
          <w:sz w:val="21"/>
          <w:szCs w:val="21"/>
          <w:lang w:val="zh-CN"/>
        </w:rPr>
        <w:t xml:space="preserve">年     月     日</w:t>
      </w:r>
      <w:r>
        <w:rPr>
          <w:rFonts w:ascii="宋体" w:hAnsi="宋体" w:cs="宋体"/>
        </w:rPr>
      </w:r>
      <w:r/>
    </w:p>
    <w:p>
      <w:pPr>
        <w:pStyle w:val="877"/>
        <w:spacing w:line="360" w:lineRule="auto"/>
        <w:tabs>
          <w:tab w:val="left" w:pos="3240" w:leader="none"/>
        </w:tabs>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859"/>
        <w:jc w:val="left"/>
        <w:spacing w:line="360" w:lineRule="auto"/>
        <w:rPr>
          <w:rFonts w:hint="eastAsia" w:ascii="宋体" w:hAnsi="宋体" w:cs="宋体"/>
          <w:b/>
          <w:bCs/>
          <w:color w:val="000000"/>
          <w:sz w:val="21"/>
          <w:szCs w:val="21"/>
        </w:rPr>
      </w:pPr>
      <w:r>
        <w:rPr>
          <w:rFonts w:hint="eastAsia" w:ascii="宋体" w:hAnsi="宋体" w:cs="宋体"/>
          <w:color w:val="000000"/>
          <w:sz w:val="21"/>
          <w:szCs w:val="21"/>
          <w:lang w:val="zh-CN"/>
        </w:rPr>
        <w:br w:type="page" w:clear="all"/>
      </w:r>
      <w:r>
        <w:rPr>
          <w:rFonts w:hint="eastAsia" w:ascii="宋体" w:hAnsi="宋体" w:eastAsia="宋体" w:cs="宋体"/>
          <w:b/>
          <w:bCs/>
          <w:color w:val="000000"/>
          <w:sz w:val="21"/>
          <w:szCs w:val="21"/>
          <w:lang w:val="zh-CN"/>
        </w:rPr>
        <w:t xml:space="preserve">2.投标单位情况表</w:t>
      </w:r>
      <w:r>
        <w:rPr>
          <w:rFonts w:ascii="宋体" w:hAnsi="宋体" w:cs="宋体"/>
        </w:rPr>
      </w:r>
      <w:r/>
    </w:p>
    <w:p>
      <w:pPr>
        <w:pStyle w:val="859"/>
        <w:jc w:val="center"/>
        <w:spacing w:line="360" w:lineRule="auto"/>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投标单位情况表</w:t>
      </w:r>
      <w:r>
        <w:rPr>
          <w:rFonts w:ascii="宋体" w:hAnsi="宋体" w:cs="宋体"/>
        </w:rPr>
      </w:r>
      <w:r/>
    </w:p>
    <w:p>
      <w:pPr>
        <w:pStyle w:val="859"/>
        <w:spacing w:line="360" w:lineRule="auto"/>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投标单位：（公章）</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19"/>
        <w:gridCol w:w="1999"/>
        <w:gridCol w:w="2201"/>
        <w:gridCol w:w="2600"/>
      </w:tblGrid>
      <w:tr>
        <w:trPr>
          <w:cantSplit/>
          <w:trHeight w:val="482"/>
        </w:trPr>
        <w:tc>
          <w:tcPr>
            <w:tcW w:w="331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法定代表人</w:t>
            </w:r>
            <w:r>
              <w:rPr>
                <w:rFonts w:ascii="宋体" w:hAnsi="宋体" w:cs="宋体"/>
              </w:rPr>
            </w:r>
            <w:r/>
          </w:p>
        </w:tc>
        <w:tc>
          <w:tcPr>
            <w:tcW w:w="199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20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成立日期</w:t>
            </w:r>
            <w:r>
              <w:rPr>
                <w:rFonts w:ascii="宋体" w:hAnsi="宋体" w:cs="宋体"/>
              </w:rPr>
            </w:r>
            <w:r/>
          </w:p>
        </w:tc>
        <w:tc>
          <w:tcPr>
            <w:tcW w:w="260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cantSplit/>
          <w:trHeight w:val="473"/>
        </w:trPr>
        <w:tc>
          <w:tcPr>
            <w:tcW w:w="331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企业地址</w:t>
            </w:r>
            <w:r>
              <w:rPr>
                <w:rFonts w:ascii="宋体" w:hAnsi="宋体" w:cs="宋体"/>
              </w:rPr>
            </w:r>
            <w:r/>
          </w:p>
        </w:tc>
        <w:tc>
          <w:tcPr>
            <w:tcW w:w="199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20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注册资本</w:t>
            </w:r>
            <w:r>
              <w:rPr>
                <w:rFonts w:ascii="宋体" w:hAnsi="宋体" w:cs="宋体"/>
              </w:rPr>
            </w:r>
            <w:r/>
          </w:p>
        </w:tc>
        <w:tc>
          <w:tcPr>
            <w:tcW w:w="260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_________</w:t>
            </w:r>
            <w:r>
              <w:rPr>
                <w:rFonts w:hint="eastAsia" w:ascii="宋体" w:hAnsi="宋体" w:eastAsia="宋体" w:cs="宋体"/>
                <w:color w:val="000000"/>
                <w:sz w:val="21"/>
                <w:szCs w:val="21"/>
              </w:rPr>
              <w:t xml:space="preserve">万元</w:t>
            </w:r>
            <w:r>
              <w:rPr>
                <w:rFonts w:ascii="宋体" w:hAnsi="宋体" w:cs="宋体"/>
              </w:rPr>
            </w:r>
            <w:r/>
          </w:p>
        </w:tc>
      </w:tr>
      <w:tr>
        <w:trPr>
          <w:cantSplit/>
          <w:trHeight w:val="463"/>
        </w:trPr>
        <w:tc>
          <w:tcPr>
            <w:tcW w:w="331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经营范围</w:t>
            </w:r>
            <w:r>
              <w:rPr>
                <w:rFonts w:ascii="宋体" w:hAnsi="宋体" w:cs="宋体"/>
              </w:rPr>
            </w:r>
            <w:r/>
          </w:p>
        </w:tc>
        <w:tc>
          <w:tcPr>
            <w:gridSpan w:val="3"/>
            <w:tcW w:w="680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cantSplit/>
        </w:trPr>
        <w:tc>
          <w:tcPr>
            <w:tcW w:w="331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职工人数</w:t>
            </w:r>
            <w:r>
              <w:rPr>
                <w:rFonts w:ascii="宋体" w:hAnsi="宋体" w:cs="宋体"/>
              </w:rPr>
            </w:r>
            <w:r/>
          </w:p>
        </w:tc>
        <w:tc>
          <w:tcPr>
            <w:tcW w:w="199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20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其中：中高级</w:t>
            </w:r>
            <w:r>
              <w:rPr>
                <w:rFonts w:ascii="宋体" w:hAnsi="宋体" w:cs="宋体"/>
              </w:rPr>
            </w:r>
            <w:r/>
          </w:p>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以上职称的人数</w:t>
            </w:r>
            <w:r>
              <w:rPr>
                <w:rFonts w:ascii="宋体" w:hAnsi="宋体" w:cs="宋体"/>
              </w:rPr>
            </w:r>
            <w:r/>
          </w:p>
        </w:tc>
        <w:tc>
          <w:tcPr>
            <w:tcW w:w="260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cantSplit/>
          <w:trHeight w:val="510"/>
        </w:trPr>
        <w:tc>
          <w:tcPr>
            <w:tcW w:w="331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资产总计</w:t>
            </w:r>
            <w:r>
              <w:rPr>
                <w:rFonts w:ascii="宋体" w:hAnsi="宋体" w:cs="宋体"/>
              </w:rPr>
            </w:r>
            <w:r/>
          </w:p>
        </w:tc>
        <w:tc>
          <w:tcPr>
            <w:tcW w:w="199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_________</w:t>
            </w:r>
            <w:r>
              <w:rPr>
                <w:rFonts w:hint="eastAsia" w:ascii="宋体" w:hAnsi="宋体" w:eastAsia="宋体" w:cs="宋体"/>
                <w:color w:val="000000"/>
                <w:sz w:val="21"/>
                <w:szCs w:val="21"/>
              </w:rPr>
              <w:t xml:space="preserve">万元</w:t>
            </w:r>
            <w:r>
              <w:rPr>
                <w:rFonts w:ascii="宋体" w:hAnsi="宋体" w:cs="宋体"/>
              </w:rPr>
            </w:r>
            <w:r/>
          </w:p>
        </w:tc>
        <w:tc>
          <w:tcPr>
            <w:tcW w:w="220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净资产</w:t>
            </w:r>
            <w:r>
              <w:rPr>
                <w:rFonts w:ascii="宋体" w:hAnsi="宋体" w:cs="宋体"/>
              </w:rPr>
            </w:r>
            <w:r/>
          </w:p>
        </w:tc>
        <w:tc>
          <w:tcPr>
            <w:tcW w:w="260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_________</w:t>
            </w:r>
            <w:r>
              <w:rPr>
                <w:rFonts w:hint="eastAsia" w:ascii="宋体" w:hAnsi="宋体" w:eastAsia="宋体" w:cs="宋体"/>
                <w:color w:val="000000"/>
                <w:sz w:val="21"/>
                <w:szCs w:val="21"/>
              </w:rPr>
              <w:t xml:space="preserve">万元</w:t>
            </w:r>
            <w:r>
              <w:rPr>
                <w:rFonts w:ascii="宋体" w:hAnsi="宋体" w:cs="宋体"/>
              </w:rPr>
            </w:r>
            <w:r/>
          </w:p>
        </w:tc>
      </w:tr>
      <w:tr>
        <w:trPr>
          <w:cantSplit/>
          <w:trHeight w:val="445"/>
        </w:trPr>
        <w:tc>
          <w:tcPr>
            <w:tcW w:w="331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股东权益</w:t>
            </w:r>
            <w:r>
              <w:rPr>
                <w:rFonts w:ascii="宋体" w:hAnsi="宋体" w:cs="宋体"/>
              </w:rPr>
            </w:r>
            <w:r/>
          </w:p>
        </w:tc>
        <w:tc>
          <w:tcPr>
            <w:tcW w:w="199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_________</w:t>
            </w:r>
            <w:r>
              <w:rPr>
                <w:rFonts w:hint="eastAsia" w:ascii="宋体" w:hAnsi="宋体" w:eastAsia="宋体" w:cs="宋体"/>
                <w:color w:val="000000"/>
                <w:sz w:val="21"/>
                <w:szCs w:val="21"/>
              </w:rPr>
              <w:t xml:space="preserve">万元</w:t>
            </w:r>
            <w:r>
              <w:rPr>
                <w:rFonts w:ascii="宋体" w:hAnsi="宋体" w:cs="宋体"/>
              </w:rPr>
            </w:r>
            <w:r/>
          </w:p>
        </w:tc>
        <w:tc>
          <w:tcPr>
            <w:tcW w:w="220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销售收入</w:t>
            </w:r>
            <w:r>
              <w:rPr>
                <w:rFonts w:ascii="宋体" w:hAnsi="宋体" w:cs="宋体"/>
              </w:rPr>
            </w:r>
            <w:r/>
          </w:p>
        </w:tc>
        <w:tc>
          <w:tcPr>
            <w:tcW w:w="260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________</w:t>
            </w:r>
            <w:r>
              <w:rPr>
                <w:rFonts w:hint="eastAsia" w:ascii="宋体" w:hAnsi="宋体" w:eastAsia="宋体" w:cs="宋体"/>
                <w:color w:val="000000"/>
                <w:sz w:val="21"/>
                <w:szCs w:val="21"/>
              </w:rPr>
              <w:t xml:space="preserve">年</w:t>
            </w:r>
            <w:r>
              <w:rPr>
                <w:rFonts w:hint="eastAsia" w:ascii="宋体" w:hAnsi="宋体" w:cs="宋体"/>
                <w:color w:val="000000"/>
                <w:sz w:val="21"/>
                <w:szCs w:val="21"/>
                <w:lang w:val="zh-CN"/>
              </w:rPr>
              <w:t xml:space="preserve">______</w:t>
            </w:r>
            <w:r>
              <w:rPr>
                <w:rFonts w:hint="eastAsia" w:ascii="宋体" w:hAnsi="宋体" w:eastAsia="宋体" w:cs="宋体"/>
                <w:color w:val="000000"/>
                <w:sz w:val="21"/>
                <w:szCs w:val="21"/>
              </w:rPr>
              <w:t xml:space="preserve">万元</w:t>
            </w:r>
            <w:r>
              <w:rPr>
                <w:rFonts w:ascii="宋体" w:hAnsi="宋体" w:cs="宋体"/>
              </w:rPr>
            </w:r>
            <w:r/>
          </w:p>
        </w:tc>
      </w:tr>
      <w:tr>
        <w:trPr>
          <w:cantSplit/>
          <w:trHeight w:val="666"/>
        </w:trPr>
        <w:tc>
          <w:tcPr>
            <w:tcW w:w="331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实现利润</w:t>
            </w:r>
            <w:r>
              <w:rPr>
                <w:rFonts w:ascii="宋体" w:hAnsi="宋体" w:cs="宋体"/>
              </w:rPr>
            </w:r>
            <w:r/>
          </w:p>
        </w:tc>
        <w:tc>
          <w:tcPr>
            <w:gridSpan w:val="3"/>
            <w:tcW w:w="680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_________</w:t>
            </w:r>
            <w:r>
              <w:rPr>
                <w:rFonts w:hint="eastAsia" w:ascii="宋体" w:hAnsi="宋体" w:eastAsia="宋体" w:cs="宋体"/>
                <w:color w:val="000000"/>
                <w:sz w:val="21"/>
                <w:szCs w:val="21"/>
              </w:rPr>
              <w:t xml:space="preserve">年</w:t>
            </w:r>
            <w:r>
              <w:rPr>
                <w:rFonts w:hint="eastAsia" w:ascii="宋体" w:hAnsi="宋体" w:cs="宋体"/>
                <w:color w:val="000000"/>
                <w:sz w:val="21"/>
                <w:szCs w:val="21"/>
                <w:lang w:val="zh-CN"/>
              </w:rPr>
              <w:t xml:space="preserve">_________</w:t>
            </w:r>
            <w:r>
              <w:rPr>
                <w:rFonts w:hint="eastAsia" w:ascii="宋体" w:hAnsi="宋体" w:eastAsia="宋体" w:cs="宋体"/>
                <w:color w:val="000000"/>
                <w:sz w:val="21"/>
                <w:szCs w:val="21"/>
              </w:rPr>
              <w:t xml:space="preserve">万元</w:t>
            </w:r>
            <w:r>
              <w:rPr>
                <w:rFonts w:ascii="宋体" w:hAnsi="宋体" w:cs="宋体"/>
              </w:rPr>
            </w:r>
            <w:r/>
          </w:p>
        </w:tc>
      </w:tr>
      <w:tr>
        <w:trPr>
          <w:cantSplit/>
        </w:trPr>
        <w:tc>
          <w:tcPr>
            <w:tcW w:w="331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营业面积（含厂房面积）</w:t>
            </w:r>
            <w:r>
              <w:rPr>
                <w:rFonts w:ascii="宋体" w:hAnsi="宋体" w:cs="宋体"/>
              </w:rPr>
            </w:r>
            <w:r/>
          </w:p>
        </w:tc>
        <w:tc>
          <w:tcPr>
            <w:tcW w:w="199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_________</w:t>
            </w:r>
            <w:r>
              <w:rPr>
                <w:rFonts w:hint="eastAsia" w:ascii="宋体" w:hAnsi="宋体" w:eastAsia="宋体" w:cs="宋体"/>
                <w:color w:val="000000"/>
                <w:sz w:val="21"/>
                <w:szCs w:val="21"/>
              </w:rPr>
              <w:t xml:space="preserve">平方米</w:t>
            </w:r>
            <w:r>
              <w:rPr>
                <w:rFonts w:ascii="宋体" w:hAnsi="宋体" w:cs="宋体"/>
              </w:rPr>
            </w:r>
            <w:r/>
          </w:p>
        </w:tc>
        <w:tc>
          <w:tcPr>
            <w:tcW w:w="2201"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其中：</w:t>
            </w:r>
            <w:r>
              <w:rPr>
                <w:rFonts w:ascii="宋体" w:hAnsi="宋体" w:cs="宋体"/>
              </w:rPr>
            </w:r>
            <w:r/>
          </w:p>
        </w:tc>
        <w:tc>
          <w:tcPr>
            <w:tcW w:w="260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自有面积</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平方米</w:t>
            </w:r>
            <w:r>
              <w:rPr>
                <w:rFonts w:ascii="宋体" w:hAnsi="宋体" w:cs="宋体"/>
              </w:rPr>
            </w:r>
            <w:r/>
          </w:p>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承租面积</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平方米</w:t>
            </w:r>
            <w:r>
              <w:rPr>
                <w:rFonts w:ascii="宋体" w:hAnsi="宋体" w:cs="宋体"/>
              </w:rPr>
            </w:r>
            <w:r/>
          </w:p>
        </w:tc>
      </w:tr>
      <w:tr>
        <w:trPr>
          <w:cantSplit/>
          <w:trHeight w:val="1022"/>
        </w:trPr>
        <w:tc>
          <w:tcPr>
            <w:tcW w:w="3319"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单位简历及内设机构情况</w:t>
            </w:r>
            <w:r>
              <w:rPr>
                <w:rFonts w:ascii="宋体" w:hAnsi="宋体" w:cs="宋体"/>
              </w:rPr>
            </w:r>
            <w:r/>
          </w:p>
        </w:tc>
        <w:tc>
          <w:tcPr>
            <w:gridSpan w:val="3"/>
            <w:tcW w:w="680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cantSplit/>
        </w:trPr>
        <w:tc>
          <w:tcPr>
            <w:tcW w:w="3319"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最近2年内在经营过程中受到何种奖励或处分</w:t>
            </w:r>
            <w:r>
              <w:rPr>
                <w:rFonts w:ascii="宋体" w:hAnsi="宋体" w:cs="宋体"/>
              </w:rPr>
            </w:r>
            <w:r/>
          </w:p>
        </w:tc>
        <w:tc>
          <w:tcPr>
            <w:gridSpan w:val="3"/>
            <w:tcW w:w="680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（包括财政、工商、税务、物价、技监部门稽查情况、结果）</w:t>
            </w:r>
            <w:r>
              <w:rPr>
                <w:rFonts w:ascii="宋体" w:hAnsi="宋体" w:cs="宋体"/>
              </w:rPr>
            </w:r>
            <w:r/>
          </w:p>
        </w:tc>
      </w:tr>
      <w:tr>
        <w:trPr>
          <w:cantSplit/>
        </w:trPr>
        <w:tc>
          <w:tcPr>
            <w:tcW w:w="3319"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最近3年内有无因售假、售劣或是其他原因被消费者投诉或起诉的情况及说明</w:t>
            </w:r>
            <w:r>
              <w:rPr>
                <w:rFonts w:ascii="宋体" w:hAnsi="宋体" w:cs="宋体"/>
              </w:rPr>
            </w:r>
            <w:r/>
          </w:p>
        </w:tc>
        <w:tc>
          <w:tcPr>
            <w:gridSpan w:val="3"/>
            <w:tcW w:w="6800"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（包括解决方式和结果）</w:t>
            </w:r>
            <w:r>
              <w:rPr>
                <w:rFonts w:ascii="宋体" w:hAnsi="宋体" w:cs="宋体"/>
              </w:rPr>
            </w:r>
            <w:r/>
          </w:p>
        </w:tc>
      </w:tr>
      <w:tr>
        <w:trPr>
          <w:cantSplit/>
        </w:trPr>
        <w:tc>
          <w:tcPr>
            <w:tcW w:w="3319" w:type="dxa"/>
            <w:vAlign w:val="top"/>
            <w:textDirection w:val="lrTb"/>
            <w:noWrap w:val="false"/>
          </w:tcPr>
          <w:p>
            <w:pPr>
              <w:pStyle w:val="859"/>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最近3年内主要负责人有无经济犯罪被司法机关追究的情况及说明</w:t>
            </w:r>
            <w:r>
              <w:rPr>
                <w:rFonts w:ascii="宋体" w:hAnsi="宋体" w:cs="宋体"/>
              </w:rPr>
            </w:r>
            <w:r/>
          </w:p>
        </w:tc>
        <w:tc>
          <w:tcPr>
            <w:gridSpan w:val="3"/>
            <w:tcW w:w="680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cantSplit/>
          <w:trHeight w:val="737"/>
        </w:trPr>
        <w:tc>
          <w:tcPr>
            <w:tcW w:w="3319"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其他需要说明的情况</w:t>
            </w:r>
            <w:r>
              <w:rPr>
                <w:rFonts w:ascii="宋体" w:hAnsi="宋体" w:cs="宋体"/>
              </w:rPr>
            </w:r>
            <w:r/>
          </w:p>
        </w:tc>
        <w:tc>
          <w:tcPr>
            <w:gridSpan w:val="3"/>
            <w:tcW w:w="6800" w:type="dxa"/>
            <w:vAlign w:val="top"/>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bl>
    <w:p>
      <w:pPr>
        <w:pStyle w:val="859"/>
        <w:spacing w:line="360" w:lineRule="auto"/>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p>
      <w:pPr>
        <w:pStyle w:val="859"/>
        <w:spacing w:line="360" w:lineRule="auto"/>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法定代表人或委托代理人：（签字或盖章）</w:t>
      </w:r>
      <w:r>
        <w:rPr>
          <w:rFonts w:ascii="宋体" w:hAnsi="宋体" w:cs="宋体"/>
        </w:rPr>
      </w:r>
      <w:r/>
    </w:p>
    <w:p>
      <w:pPr>
        <w:pStyle w:val="859"/>
        <w:spacing w:line="360" w:lineRule="auto"/>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日期：</w:t>
      </w:r>
      <w:r>
        <w:rPr>
          <w:rFonts w:hint="eastAsia" w:ascii="宋体" w:hAnsi="宋体" w:cs="宋体"/>
          <w:color w:val="000000"/>
          <w:sz w:val="21"/>
          <w:szCs w:val="21"/>
        </w:rPr>
        <w:t xml:space="preserve">    </w:t>
      </w:r>
      <w:r>
        <w:rPr>
          <w:rFonts w:hint="eastAsia" w:ascii="宋体" w:hAnsi="宋体" w:eastAsia="宋体" w:cs="宋体"/>
          <w:color w:val="000000"/>
          <w:sz w:val="21"/>
          <w:szCs w:val="21"/>
          <w:lang w:val="zh-CN"/>
        </w:rPr>
        <w:t xml:space="preserve">年     月     日</w:t>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927"/>
        <w:ind w:left="480"/>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927"/>
        <w:ind w:left="480"/>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927"/>
        <w:ind w:left="480"/>
        <w:rPr>
          <w:rFonts w:hint="eastAsia" w:ascii="宋体" w:hAnsi="宋体" w:cs="宋体"/>
          <w:color w:val="000000"/>
        </w:rPr>
      </w:pPr>
      <w:r>
        <w:rPr>
          <w:rFonts w:hint="eastAsia" w:ascii="宋体" w:hAnsi="宋体" w:cs="宋体"/>
          <w:color w:val="000000"/>
        </w:rPr>
      </w:r>
      <w:r>
        <w:rPr>
          <w:rFonts w:ascii="宋体" w:hAnsi="宋体" w:cs="宋体"/>
        </w:rPr>
      </w:r>
      <w:r/>
    </w:p>
    <w:p>
      <w:pPr>
        <w:pStyle w:val="859"/>
        <w:pageBreakBefore/>
        <w:spacing w:line="360" w:lineRule="auto"/>
        <w:rPr>
          <w:rFonts w:hint="eastAsia" w:ascii="宋体" w:hAnsi="宋体" w:cs="宋体"/>
          <w:b/>
          <w:bCs/>
          <w:color w:val="000000"/>
          <w:sz w:val="21"/>
          <w:szCs w:val="21"/>
        </w:rPr>
      </w:pPr>
      <w:r>
        <w:rPr>
          <w:rFonts w:hint="eastAsia" w:ascii="宋体" w:hAnsi="宋体" w:cs="宋体"/>
          <w:b/>
          <w:color w:val="000000"/>
          <w:sz w:val="21"/>
          <w:szCs w:val="21"/>
        </w:rPr>
        <w:t xml:space="preserve">3.</w:t>
      </w:r>
      <w:r>
        <w:rPr>
          <w:rFonts w:hint="eastAsia" w:ascii="宋体" w:hAnsi="宋体" w:eastAsia="宋体" w:cs="宋体"/>
          <w:b/>
          <w:bCs/>
          <w:color w:val="000000"/>
          <w:sz w:val="21"/>
          <w:szCs w:val="21"/>
          <w:lang w:val="zh-CN"/>
        </w:rPr>
        <w:t xml:space="preserve">中小企业声明资料</w:t>
      </w:r>
      <w:r>
        <w:rPr>
          <w:rFonts w:ascii="宋体" w:hAnsi="宋体" w:cs="宋体"/>
        </w:rPr>
      </w:r>
      <w:r/>
    </w:p>
    <w:p>
      <w:pPr>
        <w:pStyle w:val="859"/>
        <w:jc w:val="center"/>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中小企业声明函（服务） </w:t>
      </w:r>
      <w:r>
        <w:rPr>
          <w:rFonts w:ascii="宋体" w:hAnsi="宋体" w:cs="宋体"/>
        </w:rPr>
      </w:r>
      <w:r/>
    </w:p>
    <w:p>
      <w:pPr>
        <w:pStyle w:val="859"/>
        <w:ind w:firstLine="424"/>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本公司（或联合体）郑重声明，根据《政府采购促进中小企业发展管理办法》（财库﹝2020﹞46 号）的规定，本公司（或联合体）参加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u w:val="single"/>
        </w:rPr>
        <w:t xml:space="preserve">（项目名称）</w:t>
      </w:r>
      <w:r>
        <w:rPr>
          <w:rFonts w:hint="eastAsia" w:ascii="宋体" w:hAnsi="宋体" w:eastAsia="宋体" w:cs="宋体"/>
          <w:color w:val="000000"/>
          <w:sz w:val="21"/>
          <w:szCs w:val="21"/>
        </w:rPr>
        <w:t xml:space="preserve">采购活动，服务全部由符合政策要求的中小企业承接。相关企业（含联合体中的中小企业、签订分包意向协议的中小企业）的具体情况如下： </w:t>
      </w:r>
      <w:r>
        <w:rPr>
          <w:rFonts w:ascii="宋体" w:hAnsi="宋体" w:cs="宋体"/>
        </w:rPr>
      </w:r>
      <w:r/>
    </w:p>
    <w:p>
      <w:pPr>
        <w:pStyle w:val="859"/>
        <w:ind w:firstLine="424"/>
        <w:jc w:val="left"/>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 </w:t>
      </w:r>
      <w:r>
        <w:rPr>
          <w:rFonts w:hint="eastAsia" w:ascii="宋体" w:hAnsi="宋体" w:eastAsia="宋体" w:cs="宋体"/>
          <w:color w:val="000000"/>
          <w:sz w:val="21"/>
          <w:szCs w:val="21"/>
          <w:u w:val="single"/>
        </w:rPr>
        <w:t xml:space="preserve">（标的名称）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（软件和信息技术服务业）</w:t>
      </w:r>
      <w:r>
        <w:rPr>
          <w:rFonts w:hint="eastAsia" w:ascii="宋体" w:hAnsi="宋体" w:eastAsia="宋体" w:cs="宋体"/>
          <w:color w:val="000000"/>
          <w:sz w:val="21"/>
          <w:szCs w:val="21"/>
        </w:rPr>
        <w:t xml:space="preserve">；承建（承接）企业为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，从业人员人，营业收入为</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 </w:t>
      </w:r>
      <w:r>
        <w:rPr>
          <w:rFonts w:ascii="宋体" w:hAnsi="宋体" w:cs="宋体"/>
        </w:rPr>
      </w:r>
      <w:r/>
    </w:p>
    <w:p>
      <w:pPr>
        <w:pStyle w:val="859"/>
        <w:ind w:firstLine="424"/>
        <w:jc w:val="left"/>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 </w:t>
      </w:r>
      <w:r>
        <w:rPr>
          <w:rFonts w:hint="eastAsia" w:ascii="宋体" w:hAnsi="宋体" w:eastAsia="宋体" w:cs="宋体"/>
          <w:color w:val="000000"/>
          <w:sz w:val="21"/>
          <w:szCs w:val="21"/>
          <w:u w:val="single"/>
        </w:rPr>
        <w:t xml:space="preserve">（标的名称）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（软件和信息技术服务业）</w:t>
      </w:r>
      <w:r>
        <w:rPr>
          <w:rFonts w:hint="eastAsia" w:ascii="宋体" w:hAnsi="宋体" w:eastAsia="宋体" w:cs="宋体"/>
          <w:color w:val="000000"/>
          <w:sz w:val="21"/>
          <w:szCs w:val="21"/>
        </w:rPr>
        <w:t xml:space="preserve">；承建（承接）企业为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，从业人员人，营业收入为</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 …… </w:t>
      </w:r>
      <w:r>
        <w:rPr>
          <w:rFonts w:ascii="宋体" w:hAnsi="宋体" w:cs="宋体"/>
        </w:rPr>
      </w:r>
      <w:r/>
    </w:p>
    <w:p>
      <w:pPr>
        <w:pStyle w:val="859"/>
        <w:ind w:firstLine="424"/>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 </w:t>
      </w:r>
      <w:r>
        <w:rPr>
          <w:rFonts w:ascii="宋体" w:hAnsi="宋体" w:cs="宋体"/>
        </w:rPr>
      </w:r>
      <w:r/>
    </w:p>
    <w:p>
      <w:pPr>
        <w:pStyle w:val="859"/>
        <w:ind w:firstLine="424"/>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本企业对上述声明内容的真实性负责。如有虚假，将依法承担相应责任。 </w:t>
      </w:r>
      <w:r>
        <w:rPr>
          <w:rFonts w:ascii="宋体" w:hAnsi="宋体" w:cs="宋体"/>
        </w:rPr>
      </w:r>
      <w:r/>
    </w:p>
    <w:p>
      <w:pPr>
        <w:pStyle w:val="859"/>
        <w:ind w:firstLine="424"/>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59"/>
        <w:ind w:firstLine="424"/>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企业名称（盖章）：</w:t>
      </w:r>
      <w:r>
        <w:rPr>
          <w:rFonts w:ascii="宋体" w:hAnsi="宋体" w:cs="宋体"/>
        </w:rPr>
      </w:r>
      <w:r/>
    </w:p>
    <w:p>
      <w:pPr>
        <w:pStyle w:val="859"/>
        <w:ind w:firstLine="4305"/>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日 期：</w:t>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ind w:firstLine="422"/>
        <w:spacing w:line="440" w:lineRule="exact"/>
        <w:rPr>
          <w:rFonts w:hint="eastAsia" w:ascii="宋体" w:hAnsi="宋体" w:cs="宋体"/>
          <w:bCs/>
          <w:color w:val="000000"/>
          <w:sz w:val="21"/>
          <w:szCs w:val="21"/>
        </w:rPr>
      </w:pPr>
      <w:r>
        <w:rPr>
          <w:rFonts w:hint="eastAsia" w:ascii="宋体" w:hAnsi="宋体" w:eastAsia="宋体" w:cs="宋体"/>
          <w:b/>
          <w:bCs/>
          <w:color w:val="000000"/>
          <w:sz w:val="21"/>
          <w:szCs w:val="21"/>
        </w:rPr>
        <w:t xml:space="preserve">备注：</w:t>
      </w:r>
      <w:r>
        <w:rPr>
          <w:rFonts w:hint="eastAsia" w:ascii="宋体" w:hAnsi="宋体" w:eastAsia="宋体" w:cs="宋体"/>
          <w:bCs/>
          <w:color w:val="000000"/>
          <w:sz w:val="21"/>
          <w:szCs w:val="21"/>
        </w:rPr>
        <w:t xml:space="preserve">1、从业人员、营业收入、资产总额填报上一年度数据，无上一年度数据的新成立企业可不填报。</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color w:val="000000"/>
          <w:sz w:val="21"/>
        </w:rPr>
        <w:t xml:space="preserve">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sz w:val="21"/>
        </w:rPr>
        <w:t xml:space="preserve">服务类项目中供应商若使用退休人员，将不享受相应扶持政策。</w:t>
      </w:r>
      <w:r>
        <w:rPr>
          <w:rFonts w:ascii="宋体" w:hAnsi="宋体" w:cs="宋体"/>
        </w:rPr>
      </w:r>
      <w:r/>
    </w:p>
    <w:p>
      <w:pPr>
        <w:pStyle w:val="859"/>
        <w:ind w:firstLine="420"/>
        <w:spacing w:line="440" w:lineRule="exact"/>
        <w:rPr>
          <w:rFonts w:hint="eastAsia" w:ascii="宋体" w:hAnsi="宋体" w:cs="宋体"/>
          <w:b/>
          <w:color w:val="000000"/>
          <w:sz w:val="21"/>
          <w:szCs w:val="21"/>
        </w:rPr>
      </w:pPr>
      <w:r>
        <w:rPr>
          <w:rFonts w:hint="eastAsia" w:ascii="宋体" w:hAnsi="宋体" w:eastAsia="宋体" w:cs="宋体"/>
          <w:bCs/>
          <w:color w:val="000000"/>
          <w:sz w:val="21"/>
          <w:szCs w:val="21"/>
        </w:rPr>
        <w:t xml:space="preserve">3、《中小企业声明函》中所填的行业应与本采购标的对应的中小企业划分标准所属行业一致，不一致的不可享受相应政策优惠。</w:t>
      </w:r>
      <w:r>
        <w:rPr>
          <w:rFonts w:hint="eastAsia" w:ascii="宋体" w:hAnsi="宋体" w:eastAsia="宋体" w:cs="宋体"/>
          <w:b/>
          <w:bCs/>
          <w:color w:val="000000"/>
          <w:sz w:val="21"/>
          <w:szCs w:val="21"/>
        </w:rPr>
        <w:t xml:space="preserve">本采购标的对应的中小企业划分标准所属行业，以招标文件中具体规定为准。</w:t>
      </w:r>
      <w:r>
        <w:rPr>
          <w:rFonts w:ascii="宋体" w:hAnsi="宋体" w:cs="宋体"/>
        </w:rPr>
      </w:r>
      <w:r/>
    </w:p>
    <w:p>
      <w:pPr>
        <w:pStyle w:val="859"/>
        <w:ind w:firstLine="422"/>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4、如未对（□中型企业、□小型企业、□微型企业）进行勾选，视同非中小微企业，为无效投标。</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5、中标单位享受中小企业扶持政策的，《中小企业声明函》将随中标结果同时公告。</w:t>
      </w:r>
      <w:r>
        <w:rPr>
          <w:rFonts w:ascii="宋体" w:hAnsi="宋体" w:cs="宋体"/>
        </w:rPr>
      </w:r>
      <w:r/>
    </w:p>
    <w:p>
      <w:pPr>
        <w:pStyle w:val="859"/>
        <w:jc w:val="center"/>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27"/>
        <w:ind w:left="480" w:firstLine="422"/>
        <w:rPr>
          <w:rFonts w:hint="eastAsia" w:ascii="宋体" w:hAnsi="宋体" w:cs="宋体"/>
          <w:b/>
          <w:bCs/>
          <w:color w:val="000000"/>
          <w:szCs w:val="21"/>
        </w:rPr>
      </w:pPr>
      <w:r>
        <w:rPr>
          <w:rFonts w:hint="eastAsia" w:ascii="宋体" w:hAnsi="宋体" w:cs="宋体"/>
          <w:b/>
          <w:bCs/>
          <w:color w:val="000000"/>
          <w:szCs w:val="21"/>
        </w:rPr>
      </w:r>
      <w:r>
        <w:rPr>
          <w:rFonts w:ascii="宋体" w:hAnsi="宋体" w:cs="宋体"/>
        </w:rPr>
      </w:r>
      <w:r/>
    </w:p>
    <w:p>
      <w:pPr>
        <w:pStyle w:val="859"/>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27"/>
        <w:ind w:left="480" w:firstLine="422"/>
        <w:rPr>
          <w:rFonts w:hint="eastAsia" w:ascii="宋体" w:hAnsi="宋体" w:cs="宋体"/>
          <w:b/>
          <w:bCs/>
          <w:color w:val="000000"/>
          <w:szCs w:val="21"/>
        </w:rPr>
      </w:pPr>
      <w:r>
        <w:rPr>
          <w:rFonts w:hint="eastAsia" w:ascii="宋体" w:hAnsi="宋体" w:cs="宋体"/>
          <w:b/>
          <w:bCs/>
          <w:color w:val="000000"/>
          <w:szCs w:val="21"/>
        </w:rPr>
      </w:r>
      <w:r>
        <w:rPr>
          <w:rFonts w:ascii="宋体" w:hAnsi="宋体" w:cs="宋体"/>
        </w:rPr>
      </w:r>
      <w:r/>
    </w:p>
    <w:p>
      <w:pPr>
        <w:pStyle w:val="859"/>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附：中小企业划型标准规定</w:t>
      </w:r>
      <w:r>
        <w:rPr>
          <w:rFonts w:ascii="宋体" w:hAnsi="宋体" w:cs="宋体"/>
        </w:rPr>
      </w:r>
      <w:r/>
    </w:p>
    <w:p>
      <w:pPr>
        <w:pStyle w:val="859"/>
        <w:ind w:firstLine="422"/>
        <w:spacing w:line="440" w:lineRule="exact"/>
        <w:rPr>
          <w:rFonts w:hint="eastAsia" w:ascii="宋体" w:hAnsi="宋体" w:cs="宋体"/>
          <w:color w:val="000000"/>
          <w:sz w:val="21"/>
          <w:szCs w:val="21"/>
        </w:rPr>
      </w:pPr>
      <w:r>
        <w:rPr>
          <w:rFonts w:hint="eastAsia" w:ascii="宋体" w:hAnsi="宋体" w:eastAsia="宋体" w:cs="宋体"/>
          <w:b/>
          <w:color w:val="000000"/>
          <w:sz w:val="21"/>
          <w:szCs w:val="21"/>
        </w:rPr>
        <w:t xml:space="preserve">（一）农、林、牧、渔业。</w:t>
      </w:r>
      <w:r>
        <w:rPr>
          <w:rFonts w:hint="eastAsia" w:ascii="宋体" w:hAnsi="宋体" w:eastAsia="宋体" w:cs="宋体"/>
          <w:color w:val="000000"/>
          <w:sz w:val="21"/>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859"/>
        <w:ind w:firstLine="422"/>
        <w:spacing w:line="440" w:lineRule="exact"/>
        <w:rPr>
          <w:rFonts w:hint="eastAsia" w:ascii="宋体" w:hAnsi="宋体" w:cs="宋体"/>
          <w:color w:val="000000"/>
          <w:sz w:val="21"/>
          <w:szCs w:val="21"/>
        </w:rPr>
      </w:pPr>
      <w:r>
        <w:rPr>
          <w:rFonts w:hint="eastAsia" w:ascii="宋体" w:hAnsi="宋体" w:eastAsia="宋体" w:cs="宋体"/>
          <w:b/>
          <w:color w:val="000000"/>
          <w:sz w:val="21"/>
          <w:szCs w:val="21"/>
        </w:rPr>
        <w:t xml:space="preserve">（二）工业。</w:t>
      </w:r>
      <w:r>
        <w:rPr>
          <w:rFonts w:hint="eastAsia" w:ascii="宋体" w:hAnsi="宋体" w:eastAsia="宋体" w:cs="宋体"/>
          <w:color w:val="000000"/>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859"/>
        <w:ind w:firstLine="422"/>
        <w:spacing w:line="440" w:lineRule="exact"/>
        <w:rPr>
          <w:rFonts w:hint="eastAsia" w:ascii="宋体" w:hAnsi="宋体" w:cs="宋体"/>
          <w:color w:val="000000"/>
          <w:sz w:val="21"/>
          <w:szCs w:val="21"/>
        </w:rPr>
      </w:pPr>
      <w:r>
        <w:rPr>
          <w:rFonts w:hint="eastAsia" w:ascii="宋体" w:hAnsi="宋体" w:eastAsia="宋体" w:cs="宋体"/>
          <w:b/>
          <w:color w:val="000000"/>
          <w:sz w:val="21"/>
          <w:szCs w:val="21"/>
        </w:rPr>
        <w:t xml:space="preserve">（三）建筑业。</w:t>
      </w:r>
      <w:r>
        <w:rPr>
          <w:rFonts w:hint="eastAsia" w:ascii="宋体" w:hAnsi="宋体" w:eastAsia="宋体" w:cs="宋体"/>
          <w:color w:val="000000"/>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859"/>
        <w:ind w:firstLine="422"/>
        <w:spacing w:line="440" w:lineRule="exact"/>
        <w:rPr>
          <w:rFonts w:hint="eastAsia" w:ascii="宋体" w:hAnsi="宋体" w:cs="宋体"/>
          <w:color w:val="000000"/>
          <w:sz w:val="21"/>
          <w:szCs w:val="21"/>
        </w:rPr>
      </w:pPr>
      <w:r>
        <w:rPr>
          <w:rFonts w:hint="eastAsia" w:ascii="宋体" w:hAnsi="宋体" w:eastAsia="宋体" w:cs="宋体"/>
          <w:b/>
          <w:color w:val="000000"/>
          <w:sz w:val="21"/>
          <w:szCs w:val="21"/>
        </w:rPr>
        <w:t xml:space="preserve">（四）批发业。</w:t>
      </w:r>
      <w:r>
        <w:rPr>
          <w:rFonts w:hint="eastAsia" w:ascii="宋体" w:hAnsi="宋体" w:eastAsia="宋体" w:cs="宋体"/>
          <w:color w:val="000000"/>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859"/>
        <w:ind w:firstLine="422"/>
        <w:spacing w:line="440" w:lineRule="exact"/>
        <w:rPr>
          <w:rFonts w:hint="eastAsia" w:ascii="宋体" w:hAnsi="宋体" w:cs="宋体"/>
          <w:color w:val="000000"/>
          <w:sz w:val="21"/>
          <w:szCs w:val="21"/>
        </w:rPr>
      </w:pPr>
      <w:r>
        <w:rPr>
          <w:rFonts w:hint="eastAsia" w:ascii="宋体" w:hAnsi="宋体" w:eastAsia="宋体" w:cs="宋体"/>
          <w:b/>
          <w:color w:val="000000"/>
          <w:sz w:val="21"/>
          <w:szCs w:val="21"/>
        </w:rPr>
        <w:t xml:space="preserve">（五）零售业。</w:t>
      </w:r>
      <w:r>
        <w:rPr>
          <w:rFonts w:hint="eastAsia" w:ascii="宋体" w:hAnsi="宋体" w:eastAsia="宋体" w:cs="宋体"/>
          <w:color w:val="000000"/>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859"/>
        <w:ind w:firstLine="422"/>
        <w:spacing w:line="440" w:lineRule="exact"/>
        <w:rPr>
          <w:rFonts w:hint="eastAsia" w:ascii="宋体" w:hAnsi="宋体" w:cs="宋体"/>
          <w:color w:val="000000"/>
          <w:sz w:val="21"/>
          <w:szCs w:val="21"/>
        </w:rPr>
      </w:pPr>
      <w:r>
        <w:rPr>
          <w:rFonts w:hint="eastAsia" w:ascii="宋体" w:hAnsi="宋体" w:eastAsia="宋体" w:cs="宋体"/>
          <w:b/>
          <w:color w:val="000000"/>
          <w:sz w:val="21"/>
          <w:szCs w:val="21"/>
        </w:rPr>
        <w:t xml:space="preserve">（六）交通运输业。</w:t>
      </w:r>
      <w:r>
        <w:rPr>
          <w:rFonts w:hint="eastAsia" w:ascii="宋体" w:hAnsi="宋体" w:eastAsia="宋体" w:cs="宋体"/>
          <w:color w:val="000000"/>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859"/>
        <w:ind w:firstLine="422"/>
        <w:spacing w:line="440" w:lineRule="exact"/>
        <w:rPr>
          <w:rFonts w:hint="eastAsia" w:ascii="宋体" w:hAnsi="宋体" w:cs="宋体"/>
          <w:color w:val="000000"/>
          <w:sz w:val="21"/>
          <w:szCs w:val="21"/>
        </w:rPr>
      </w:pPr>
      <w:r>
        <w:rPr>
          <w:rFonts w:hint="eastAsia" w:ascii="宋体" w:hAnsi="宋体" w:eastAsia="宋体" w:cs="宋体"/>
          <w:b/>
          <w:color w:val="000000"/>
          <w:sz w:val="21"/>
          <w:szCs w:val="21"/>
        </w:rPr>
        <w:t xml:space="preserve">（七）仓储业。</w:t>
      </w:r>
      <w:r>
        <w:rPr>
          <w:rFonts w:hint="eastAsia" w:ascii="宋体" w:hAnsi="宋体" w:eastAsia="宋体" w:cs="宋体"/>
          <w:color w:val="000000"/>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859"/>
        <w:ind w:firstLine="422"/>
        <w:spacing w:line="440" w:lineRule="exact"/>
        <w:rPr>
          <w:rFonts w:hint="eastAsia" w:ascii="宋体" w:hAnsi="宋体" w:cs="宋体"/>
          <w:color w:val="000000"/>
          <w:sz w:val="21"/>
          <w:szCs w:val="21"/>
        </w:rPr>
      </w:pPr>
      <w:r>
        <w:rPr>
          <w:rFonts w:hint="eastAsia" w:ascii="宋体" w:hAnsi="宋体" w:eastAsia="宋体" w:cs="宋体"/>
          <w:b/>
          <w:color w:val="000000"/>
          <w:sz w:val="21"/>
          <w:szCs w:val="21"/>
        </w:rPr>
        <w:t xml:space="preserve">（八）邮政业。</w:t>
      </w:r>
      <w:r>
        <w:rPr>
          <w:rFonts w:hint="eastAsia" w:ascii="宋体" w:hAnsi="宋体" w:eastAsia="宋体" w:cs="宋体"/>
          <w:color w:val="000000"/>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859"/>
        <w:ind w:firstLine="422"/>
        <w:spacing w:line="440" w:lineRule="exact"/>
        <w:rPr>
          <w:rFonts w:hint="eastAsia" w:ascii="宋体" w:hAnsi="宋体" w:cs="宋体"/>
          <w:color w:val="000000"/>
          <w:sz w:val="21"/>
          <w:szCs w:val="21"/>
        </w:rPr>
      </w:pPr>
      <w:r>
        <w:rPr>
          <w:rFonts w:hint="eastAsia" w:ascii="宋体" w:hAnsi="宋体" w:eastAsia="宋体" w:cs="宋体"/>
          <w:b/>
          <w:color w:val="000000"/>
          <w:sz w:val="21"/>
          <w:szCs w:val="21"/>
        </w:rPr>
        <w:t xml:space="preserve">（九）住宿业。</w:t>
      </w:r>
      <w:r>
        <w:rPr>
          <w:rFonts w:hint="eastAsia" w:ascii="宋体" w:hAnsi="宋体" w:eastAsia="宋体" w:cs="宋体"/>
          <w:color w:val="000000"/>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859"/>
        <w:ind w:firstLine="422"/>
        <w:spacing w:line="440" w:lineRule="exact"/>
        <w:rPr>
          <w:rFonts w:hint="eastAsia" w:ascii="宋体" w:hAnsi="宋体" w:cs="宋体"/>
          <w:color w:val="000000"/>
          <w:sz w:val="21"/>
          <w:szCs w:val="21"/>
        </w:rPr>
      </w:pPr>
      <w:r>
        <w:rPr>
          <w:rFonts w:hint="eastAsia" w:ascii="宋体" w:hAnsi="宋体" w:eastAsia="宋体" w:cs="宋体"/>
          <w:b/>
          <w:color w:val="000000"/>
          <w:sz w:val="21"/>
          <w:szCs w:val="21"/>
        </w:rPr>
        <w:t xml:space="preserve">（十）餐饮业。</w:t>
      </w:r>
      <w:r>
        <w:rPr>
          <w:rFonts w:hint="eastAsia" w:ascii="宋体" w:hAnsi="宋体" w:eastAsia="宋体" w:cs="宋体"/>
          <w:color w:val="000000"/>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859"/>
        <w:ind w:firstLine="422"/>
        <w:spacing w:line="440" w:lineRule="exact"/>
        <w:rPr>
          <w:rFonts w:hint="eastAsia" w:ascii="宋体" w:hAnsi="宋体" w:cs="宋体"/>
          <w:color w:val="000000"/>
          <w:sz w:val="21"/>
          <w:szCs w:val="21"/>
        </w:rPr>
      </w:pPr>
      <w:r>
        <w:rPr>
          <w:rFonts w:hint="eastAsia" w:ascii="宋体" w:hAnsi="宋体" w:eastAsia="宋体" w:cs="宋体"/>
          <w:b/>
          <w:color w:val="000000"/>
          <w:sz w:val="21"/>
          <w:szCs w:val="21"/>
        </w:rPr>
        <w:t xml:space="preserve">（十一）信息传输业。</w:t>
      </w:r>
      <w:r>
        <w:rPr>
          <w:rFonts w:hint="eastAsia" w:ascii="宋体" w:hAnsi="宋体" w:eastAsia="宋体" w:cs="宋体"/>
          <w:color w:val="000000"/>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rPr>
      </w:r>
      <w:r/>
    </w:p>
    <w:p>
      <w:pPr>
        <w:pStyle w:val="859"/>
        <w:ind w:firstLine="422"/>
        <w:spacing w:line="440" w:lineRule="exact"/>
        <w:rPr>
          <w:rFonts w:hint="eastAsia" w:ascii="宋体" w:hAnsi="宋体" w:cs="宋体"/>
          <w:color w:val="000000"/>
          <w:sz w:val="21"/>
          <w:szCs w:val="21"/>
        </w:rPr>
      </w:pPr>
      <w:r>
        <w:rPr>
          <w:rFonts w:hint="eastAsia" w:ascii="宋体" w:hAnsi="宋体" w:eastAsia="宋体" w:cs="宋体"/>
          <w:b/>
          <w:color w:val="000000"/>
          <w:sz w:val="21"/>
          <w:szCs w:val="21"/>
        </w:rPr>
        <w:t xml:space="preserve">（十二）软件和信息技术服务业。</w:t>
      </w:r>
      <w:r>
        <w:rPr>
          <w:rFonts w:hint="eastAsia" w:ascii="宋体" w:hAnsi="宋体" w:eastAsia="宋体" w:cs="宋体"/>
          <w:color w:val="000000"/>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859"/>
        <w:ind w:firstLine="422"/>
        <w:spacing w:line="440" w:lineRule="exact"/>
        <w:rPr>
          <w:rFonts w:hint="eastAsia" w:ascii="宋体" w:hAnsi="宋体" w:cs="宋体"/>
          <w:color w:val="000000"/>
          <w:sz w:val="21"/>
          <w:szCs w:val="21"/>
        </w:rPr>
      </w:pPr>
      <w:r>
        <w:rPr>
          <w:rFonts w:hint="eastAsia" w:ascii="宋体" w:hAnsi="宋体" w:eastAsia="宋体" w:cs="宋体"/>
          <w:b/>
          <w:color w:val="000000"/>
          <w:sz w:val="21"/>
          <w:szCs w:val="21"/>
        </w:rPr>
        <w:t xml:space="preserve">（十三）房地产开发经营。</w:t>
      </w:r>
      <w:r>
        <w:rPr>
          <w:rFonts w:hint="eastAsia" w:ascii="宋体" w:hAnsi="宋体" w:eastAsia="宋体" w:cs="宋体"/>
          <w:color w:val="000000"/>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859"/>
        <w:ind w:firstLine="422"/>
        <w:spacing w:line="440" w:lineRule="exact"/>
        <w:rPr>
          <w:rFonts w:hint="eastAsia" w:ascii="宋体" w:hAnsi="宋体" w:cs="宋体"/>
          <w:color w:val="000000"/>
          <w:sz w:val="21"/>
          <w:szCs w:val="21"/>
        </w:rPr>
      </w:pPr>
      <w:r>
        <w:rPr>
          <w:rFonts w:hint="eastAsia" w:ascii="宋体" w:hAnsi="宋体" w:eastAsia="宋体" w:cs="宋体"/>
          <w:b/>
          <w:color w:val="000000"/>
          <w:sz w:val="21"/>
          <w:szCs w:val="21"/>
        </w:rPr>
        <w:t xml:space="preserve">（十四）物业管理。</w:t>
      </w:r>
      <w:r>
        <w:rPr>
          <w:rFonts w:hint="eastAsia" w:ascii="宋体" w:hAnsi="宋体" w:eastAsia="宋体" w:cs="宋体"/>
          <w:color w:val="000000"/>
          <w:sz w:val="21"/>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859"/>
        <w:ind w:firstLine="422"/>
        <w:spacing w:line="440" w:lineRule="exact"/>
        <w:rPr>
          <w:rFonts w:hint="eastAsia" w:ascii="宋体" w:hAnsi="宋体" w:cs="宋体"/>
          <w:color w:val="000000"/>
          <w:sz w:val="21"/>
          <w:szCs w:val="21"/>
        </w:rPr>
      </w:pPr>
      <w:r>
        <w:rPr>
          <w:rFonts w:hint="eastAsia" w:ascii="宋体" w:hAnsi="宋体" w:eastAsia="宋体" w:cs="宋体"/>
          <w:b/>
          <w:color w:val="000000"/>
          <w:sz w:val="21"/>
          <w:szCs w:val="21"/>
        </w:rPr>
        <w:t xml:space="preserve">（十五）租赁和商务服务业。</w:t>
      </w:r>
      <w:r>
        <w:rPr>
          <w:rFonts w:hint="eastAsia" w:ascii="宋体" w:hAnsi="宋体" w:eastAsia="宋体" w:cs="宋体"/>
          <w:color w:val="000000"/>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859"/>
        <w:ind w:firstLine="422"/>
        <w:spacing w:line="440" w:lineRule="exact"/>
        <w:rPr>
          <w:rFonts w:hint="eastAsia" w:ascii="宋体" w:hAnsi="宋体" w:cs="宋体"/>
          <w:color w:val="000000"/>
          <w:sz w:val="21"/>
          <w:szCs w:val="21"/>
        </w:rPr>
      </w:pPr>
      <w:r>
        <w:rPr>
          <w:rFonts w:hint="eastAsia" w:ascii="宋体" w:hAnsi="宋体" w:eastAsia="宋体" w:cs="宋体"/>
          <w:b/>
          <w:color w:val="000000"/>
          <w:sz w:val="21"/>
          <w:szCs w:val="21"/>
        </w:rPr>
        <w:t xml:space="preserve">（十六）其他未列明行业。</w:t>
      </w:r>
      <w:r>
        <w:rPr>
          <w:rFonts w:hint="eastAsia" w:ascii="宋体" w:hAnsi="宋体" w:eastAsia="宋体" w:cs="宋体"/>
          <w:color w:val="000000"/>
          <w:sz w:val="21"/>
          <w:szCs w:val="21"/>
        </w:rPr>
        <w:t xml:space="preserve">从业人员300人以下的为中小微型企业。其中，从业人员100人及以上的为中型企业；从业人员10人及以上的为小型企业；从业人员10人以下的为微型企业。</w:t>
      </w:r>
      <w:r>
        <w:rPr>
          <w:rFonts w:ascii="宋体" w:hAnsi="宋体" w:cs="宋体"/>
        </w:rPr>
      </w:r>
      <w:r/>
    </w:p>
    <w:p>
      <w:pPr>
        <w:pStyle w:val="859"/>
        <w:ind w:right="-5"/>
        <w:pageBreakBefore/>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4.</w:t>
      </w:r>
      <w:bookmarkStart w:id="44" w:name="OLE_LINK14"/>
      <w:r>
        <w:rPr>
          <w:rFonts w:ascii="宋体" w:hAnsi="宋体" w:cs="宋体"/>
        </w:rPr>
      </w:r>
      <w:bookmarkStart w:id="45" w:name="OLE_LINK13"/>
      <w:r>
        <w:rPr>
          <w:rFonts w:hint="eastAsia" w:ascii="宋体" w:hAnsi="宋体" w:eastAsia="宋体" w:cs="宋体"/>
          <w:b/>
          <w:color w:val="000000"/>
          <w:sz w:val="21"/>
          <w:szCs w:val="21"/>
        </w:rPr>
        <w:t xml:space="preserve">残疾人福利性单位声明函</w:t>
      </w:r>
      <w:r>
        <w:rPr>
          <w:rFonts w:ascii="宋体" w:hAnsi="宋体" w:cs="宋体"/>
        </w:rPr>
      </w:r>
      <w:r/>
    </w:p>
    <w:p>
      <w:pPr>
        <w:pStyle w:val="859"/>
        <w:jc w:val="center"/>
        <w:spacing w:line="360" w:lineRule="auto"/>
        <w:rPr>
          <w:rFonts w:hint="eastAsia" w:ascii="宋体" w:hAnsi="宋体" w:cs="宋体"/>
          <w:b/>
          <w:color w:val="000000"/>
          <w:spacing w:val="6"/>
          <w:sz w:val="21"/>
          <w:szCs w:val="21"/>
        </w:rPr>
      </w:pPr>
      <w:r>
        <w:rPr>
          <w:rFonts w:hint="eastAsia" w:ascii="宋体" w:hAnsi="宋体" w:eastAsia="宋体" w:cs="宋体"/>
          <w:b/>
          <w:color w:val="000000"/>
          <w:spacing w:val="6"/>
          <w:sz w:val="21"/>
          <w:szCs w:val="21"/>
        </w:rPr>
        <w:t xml:space="preserve">残疾人福利性单位声明函</w:t>
      </w:r>
      <w:bookmarkEnd w:id="44"/>
      <w:r>
        <w:rPr>
          <w:rFonts w:ascii="宋体" w:hAnsi="宋体" w:cs="宋体"/>
        </w:rPr>
      </w:r>
      <w:bookmarkEnd w:id="45"/>
      <w:r>
        <w:rPr>
          <w:rFonts w:ascii="宋体" w:hAnsi="宋体" w:cs="宋体"/>
        </w:rPr>
      </w:r>
      <w:r/>
    </w:p>
    <w:p>
      <w:pPr>
        <w:pStyle w:val="859"/>
        <w:ind w:firstLine="444"/>
        <w:spacing w:line="440" w:lineRule="exact"/>
        <w:rPr>
          <w:rFonts w:hint="eastAsia" w:ascii="宋体" w:hAnsi="宋体" w:cs="宋体"/>
          <w:color w:val="000000"/>
          <w:spacing w:val="6"/>
          <w:sz w:val="21"/>
          <w:szCs w:val="21"/>
        </w:rPr>
      </w:pPr>
      <w:r>
        <w:rPr>
          <w:rFonts w:hint="eastAsia" w:ascii="宋体" w:hAnsi="宋体" w:eastAsia="宋体" w:cs="宋体"/>
          <w:color w:val="000000"/>
          <w:spacing w:val="6"/>
          <w:sz w:val="21"/>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1"/>
          <w:szCs w:val="21"/>
        </w:rPr>
        <w:t xml:space="preserve">〔2017〕141</w:t>
      </w:r>
      <w:r>
        <w:rPr>
          <w:rFonts w:hint="eastAsia" w:ascii="宋体" w:hAnsi="宋体" w:eastAsia="宋体" w:cs="宋体"/>
          <w:color w:val="000000"/>
          <w:spacing w:val="6"/>
          <w:sz w:val="21"/>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pStyle w:val="859"/>
        <w:ind w:firstLine="444"/>
        <w:spacing w:line="440" w:lineRule="exact"/>
        <w:rPr>
          <w:rFonts w:hint="eastAsia" w:ascii="宋体" w:hAnsi="宋体" w:cs="宋体"/>
          <w:color w:val="000000"/>
          <w:spacing w:val="6"/>
          <w:sz w:val="21"/>
          <w:szCs w:val="21"/>
        </w:rPr>
      </w:pPr>
      <w:r>
        <w:rPr>
          <w:rFonts w:hint="eastAsia" w:ascii="宋体" w:hAnsi="宋体" w:eastAsia="宋体" w:cs="宋体"/>
          <w:color w:val="000000"/>
          <w:spacing w:val="6"/>
          <w:sz w:val="21"/>
          <w:szCs w:val="21"/>
        </w:rPr>
        <w:t xml:space="preserve">本单位对上述声明的真实性负责。如有虚假，将依法承担相应责任。</w:t>
      </w:r>
      <w:r>
        <w:rPr>
          <w:rFonts w:ascii="宋体" w:hAnsi="宋体" w:cs="宋体"/>
        </w:rPr>
      </w:r>
      <w:r/>
    </w:p>
    <w:p>
      <w:pPr>
        <w:pStyle w:val="859"/>
        <w:ind w:firstLine="444"/>
        <w:spacing w:line="440" w:lineRule="exact"/>
        <w:rPr>
          <w:rFonts w:hint="eastAsia" w:ascii="宋体" w:hAnsi="宋体" w:cs="宋体"/>
          <w:color w:val="000000"/>
          <w:spacing w:val="6"/>
          <w:sz w:val="21"/>
          <w:szCs w:val="21"/>
        </w:rPr>
      </w:pPr>
      <w:r>
        <w:rPr>
          <w:rFonts w:hint="eastAsia" w:ascii="宋体" w:hAnsi="宋体" w:cs="宋体"/>
          <w:color w:val="000000"/>
          <w:spacing w:val="6"/>
          <w:sz w:val="21"/>
          <w:szCs w:val="21"/>
        </w:rPr>
      </w:r>
      <w:r>
        <w:rPr>
          <w:rFonts w:ascii="宋体" w:hAnsi="宋体" w:cs="宋体"/>
        </w:rPr>
      </w:r>
      <w:r/>
    </w:p>
    <w:p>
      <w:pPr>
        <w:pStyle w:val="859"/>
        <w:ind w:firstLine="444"/>
        <w:spacing w:line="440" w:lineRule="exact"/>
        <w:rPr>
          <w:rFonts w:hint="eastAsia" w:ascii="宋体" w:hAnsi="宋体" w:cs="宋体"/>
          <w:color w:val="000000"/>
          <w:spacing w:val="6"/>
          <w:sz w:val="21"/>
          <w:szCs w:val="21"/>
        </w:rPr>
      </w:pPr>
      <w:r>
        <w:rPr>
          <w:rFonts w:hint="eastAsia" w:ascii="宋体" w:hAnsi="宋体" w:cs="宋体"/>
          <w:color w:val="000000"/>
          <w:spacing w:val="6"/>
          <w:sz w:val="21"/>
          <w:szCs w:val="21"/>
        </w:rPr>
      </w:r>
      <w:r>
        <w:rPr>
          <w:rFonts w:ascii="宋体" w:hAnsi="宋体" w:cs="宋体"/>
        </w:rPr>
      </w:r>
      <w:r/>
    </w:p>
    <w:p>
      <w:pPr>
        <w:pStyle w:val="859"/>
        <w:ind w:right="1560" w:firstLine="444"/>
        <w:jc w:val="center"/>
        <w:spacing w:line="440" w:lineRule="exact"/>
        <w:tabs>
          <w:tab w:val="left" w:pos="4860" w:leader="none"/>
        </w:tabs>
        <w:rPr>
          <w:rFonts w:hint="eastAsia" w:ascii="宋体" w:hAnsi="宋体" w:cs="宋体"/>
          <w:color w:val="000000"/>
          <w:spacing w:val="6"/>
          <w:sz w:val="21"/>
          <w:szCs w:val="21"/>
        </w:rPr>
      </w:pPr>
      <w:r>
        <w:rPr>
          <w:rFonts w:hint="eastAsia" w:ascii="宋体" w:hAnsi="宋体" w:eastAsia="宋体" w:cs="宋体"/>
          <w:color w:val="000000"/>
          <w:spacing w:val="6"/>
          <w:sz w:val="21"/>
          <w:szCs w:val="21"/>
        </w:rPr>
        <w:t xml:space="preserve">                                  单位名称（盖章）：</w:t>
      </w:r>
      <w:r>
        <w:rPr>
          <w:rFonts w:ascii="宋体" w:hAnsi="宋体" w:cs="宋体"/>
        </w:rPr>
      </w:r>
      <w:r/>
    </w:p>
    <w:p>
      <w:pPr>
        <w:pStyle w:val="859"/>
        <w:ind w:right="1560" w:firstLine="444"/>
        <w:jc w:val="center"/>
        <w:spacing w:line="440" w:lineRule="exact"/>
        <w:tabs>
          <w:tab w:val="left" w:pos="4860" w:leader="none"/>
        </w:tabs>
        <w:rPr>
          <w:rFonts w:hint="eastAsia" w:ascii="宋体" w:hAnsi="宋体" w:cs="宋体"/>
          <w:color w:val="000000"/>
          <w:spacing w:val="6"/>
          <w:sz w:val="21"/>
          <w:szCs w:val="21"/>
        </w:rPr>
      </w:pPr>
      <w:r>
        <w:rPr>
          <w:rFonts w:hint="eastAsia" w:ascii="宋体" w:hAnsi="宋体" w:eastAsia="宋体" w:cs="宋体"/>
          <w:color w:val="000000"/>
          <w:spacing w:val="6"/>
          <w:sz w:val="21"/>
          <w:szCs w:val="21"/>
        </w:rPr>
        <w:t xml:space="preserve">                          日  期：</w:t>
      </w:r>
      <w:r>
        <w:rPr>
          <w:rFonts w:ascii="宋体" w:hAnsi="宋体" w:cs="宋体"/>
        </w:rPr>
      </w:r>
      <w:r/>
    </w:p>
    <w:p>
      <w:pPr>
        <w:pStyle w:val="859"/>
        <w:ind w:firstLine="444"/>
        <w:spacing w:line="440" w:lineRule="exact"/>
        <w:rPr>
          <w:rFonts w:hint="eastAsia" w:ascii="宋体" w:hAnsi="宋体" w:cs="宋体"/>
          <w:color w:val="000000"/>
          <w:spacing w:val="6"/>
          <w:sz w:val="21"/>
          <w:szCs w:val="21"/>
        </w:rPr>
      </w:pPr>
      <w:r>
        <w:rPr>
          <w:rFonts w:hint="eastAsia" w:ascii="宋体" w:hAnsi="宋体" w:eastAsia="宋体" w:cs="宋体"/>
          <w:color w:val="000000"/>
          <w:spacing w:val="6"/>
          <w:sz w:val="21"/>
          <w:szCs w:val="21"/>
        </w:rPr>
        <w:t xml:space="preserve">备注：</w:t>
      </w:r>
      <w:r>
        <w:rPr>
          <w:rFonts w:hint="eastAsia" w:ascii="宋体" w:hAnsi="宋体" w:eastAsia="宋体" w:cs="宋体"/>
          <w:color w:val="000000"/>
          <w:spacing w:val="6"/>
          <w:sz w:val="21"/>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cs="宋体"/>
        </w:rPr>
      </w:r>
      <w:r/>
    </w:p>
    <w:p>
      <w:pPr>
        <w:pStyle w:val="859"/>
        <w:ind w:firstLine="351"/>
        <w:jc w:val="left"/>
        <w:spacing w:line="360" w:lineRule="auto"/>
        <w:widowControl/>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59"/>
        <w:ind w:right="492" w:firstLine="388"/>
        <w:spacing w:line="360" w:lineRule="auto"/>
        <w:rPr>
          <w:rFonts w:hint="eastAsia" w:ascii="宋体" w:hAnsi="宋体" w:cs="宋体"/>
          <w:color w:val="000000"/>
          <w:spacing w:val="6"/>
          <w:sz w:val="21"/>
          <w:szCs w:val="21"/>
        </w:rPr>
      </w:pPr>
      <w:r>
        <w:rPr>
          <w:rFonts w:hint="eastAsia" w:ascii="宋体" w:hAnsi="宋体" w:cs="宋体"/>
          <w:color w:val="000000"/>
          <w:spacing w:val="6"/>
          <w:sz w:val="21"/>
          <w:szCs w:val="21"/>
        </w:rPr>
      </w:r>
      <w:r>
        <w:rPr>
          <w:rFonts w:ascii="宋体" w:hAnsi="宋体" w:cs="宋体"/>
        </w:rPr>
      </w:r>
      <w:r/>
    </w:p>
    <w:p>
      <w:pPr>
        <w:pStyle w:val="859"/>
        <w:ind w:right="492" w:firstLine="388"/>
        <w:jc w:val="center"/>
        <w:spacing w:line="360" w:lineRule="auto"/>
        <w:rPr>
          <w:rFonts w:hint="eastAsia" w:ascii="宋体" w:hAnsi="宋体" w:cs="宋体"/>
          <w:color w:val="000000"/>
          <w:spacing w:val="6"/>
          <w:sz w:val="21"/>
          <w:szCs w:val="21"/>
        </w:rPr>
      </w:pPr>
      <w:r>
        <w:rPr>
          <w:rFonts w:hint="eastAsia" w:ascii="宋体" w:hAnsi="宋体" w:cs="宋体"/>
          <w:color w:val="000000"/>
          <w:spacing w:val="6"/>
          <w:sz w:val="21"/>
          <w:szCs w:val="21"/>
        </w:rPr>
      </w:r>
      <w:r>
        <w:rPr>
          <w:rFonts w:ascii="宋体" w:hAnsi="宋体" w:cs="宋体"/>
        </w:rPr>
      </w:r>
      <w:r/>
    </w:p>
    <w:p>
      <w:pPr>
        <w:pStyle w:val="859"/>
        <w:ind w:right="492" w:firstLine="388"/>
        <w:jc w:val="center"/>
        <w:spacing w:line="360" w:lineRule="auto"/>
        <w:rPr>
          <w:rFonts w:hint="eastAsia" w:ascii="宋体" w:hAnsi="宋体" w:cs="宋体"/>
          <w:color w:val="000000"/>
          <w:spacing w:val="6"/>
          <w:sz w:val="21"/>
          <w:szCs w:val="21"/>
        </w:rPr>
      </w:pPr>
      <w:r>
        <w:rPr>
          <w:rFonts w:hint="eastAsia" w:ascii="宋体" w:hAnsi="宋体" w:cs="宋体"/>
          <w:color w:val="000000"/>
          <w:spacing w:val="6"/>
          <w:sz w:val="21"/>
          <w:szCs w:val="21"/>
        </w:rPr>
      </w:r>
      <w:r>
        <w:rPr>
          <w:rFonts w:ascii="宋体" w:hAnsi="宋体" w:cs="宋体"/>
        </w:rPr>
      </w:r>
      <w:r/>
    </w:p>
    <w:p>
      <w:pPr>
        <w:pStyle w:val="859"/>
        <w:jc w:val="left"/>
        <w:spacing w:line="360" w:lineRule="auto"/>
        <w:rPr>
          <w:rFonts w:hint="eastAsia" w:ascii="宋体" w:hAnsi="宋体" w:cs="宋体"/>
          <w:b/>
          <w:bCs/>
          <w:color w:val="000000"/>
          <w:sz w:val="21"/>
          <w:szCs w:val="21"/>
        </w:rPr>
      </w:pPr>
      <w:r>
        <w:rPr>
          <w:rFonts w:hint="eastAsia" w:ascii="宋体" w:hAnsi="宋体" w:cs="宋体"/>
          <w:b/>
          <w:bCs/>
          <w:color w:val="000000"/>
          <w:sz w:val="21"/>
          <w:szCs w:val="21"/>
          <w:lang w:val="zh-CN"/>
        </w:rPr>
      </w:r>
      <w:r>
        <w:rPr>
          <w:rFonts w:ascii="宋体" w:hAnsi="宋体" w:cs="宋体"/>
        </w:rPr>
      </w:r>
      <w:r/>
    </w:p>
    <w:p>
      <w:pPr>
        <w:pStyle w:val="859"/>
        <w:ind w:firstLine="422"/>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59"/>
        <w:ind w:firstLine="422"/>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59"/>
        <w:ind w:firstLine="422"/>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59"/>
        <w:ind w:firstLine="422"/>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59"/>
        <w:ind w:firstLine="422"/>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59"/>
        <w:pageBreakBefore/>
        <w:spacing w:line="360" w:lineRule="auto"/>
        <w:rPr>
          <w:rFonts w:hint="eastAsia" w:ascii="宋体" w:hAnsi="宋体" w:cs="宋体"/>
          <w:b/>
          <w:color w:val="000000"/>
          <w:sz w:val="21"/>
          <w:szCs w:val="21"/>
        </w:rPr>
      </w:pPr>
      <w:r>
        <w:rPr>
          <w:rFonts w:hint="eastAsia" w:ascii="宋体" w:hAnsi="宋体" w:eastAsia="宋体" w:cs="宋体"/>
          <w:b/>
          <w:color w:val="000000"/>
          <w:sz w:val="21"/>
          <w:szCs w:val="21"/>
        </w:rPr>
        <w:t xml:space="preserve">5.监狱企业证明文件</w:t>
      </w:r>
      <w:r>
        <w:rPr>
          <w:rFonts w:ascii="宋体" w:hAnsi="宋体" w:cs="宋体"/>
        </w:rPr>
      </w:r>
      <w:r/>
    </w:p>
    <w:p>
      <w:pPr>
        <w:pStyle w:val="859"/>
        <w:jc w:val="center"/>
        <w:rPr>
          <w:rFonts w:hint="eastAsia" w:ascii="宋体" w:hAnsi="宋体" w:cs="宋体"/>
          <w:b/>
          <w:color w:val="000000"/>
          <w:sz w:val="21"/>
          <w:szCs w:val="21"/>
        </w:rPr>
      </w:pPr>
      <w:r>
        <w:rPr>
          <w:rFonts w:hint="eastAsia" w:ascii="宋体" w:hAnsi="宋体" w:eastAsia="宋体" w:cs="宋体"/>
          <w:b/>
          <w:bCs/>
          <w:color w:val="000000"/>
          <w:sz w:val="21"/>
          <w:szCs w:val="21"/>
        </w:rPr>
        <w:t xml:space="preserve">监狱企业声明函</w:t>
      </w:r>
      <w:r>
        <w:rPr>
          <w:rFonts w:ascii="宋体" w:hAnsi="宋体" w:cs="宋体"/>
        </w:rPr>
      </w:r>
      <w:r/>
    </w:p>
    <w:p>
      <w:pPr>
        <w:pStyle w:val="859"/>
        <w:ind w:left="15" w:right="15" w:firstLine="480"/>
        <w:jc w:val="left"/>
        <w:spacing w:line="440" w:lineRule="exact"/>
        <w:widowControl/>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59"/>
        <w:ind w:left="15" w:right="15" w:firstLine="48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本企业（单位）郑重声明下列事项（按照实际情况勾选或填空）：</w:t>
      </w:r>
      <w:r>
        <w:rPr>
          <w:rFonts w:ascii="宋体" w:hAnsi="宋体" w:cs="宋体"/>
        </w:rPr>
      </w:r>
      <w:r/>
    </w:p>
    <w:p>
      <w:pPr>
        <w:pStyle w:val="859"/>
        <w:ind w:left="15" w:right="15" w:firstLine="48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本企业（单位）为直接投标人提供本企业（单位）的服务。</w:t>
      </w:r>
      <w:r>
        <w:rPr>
          <w:rFonts w:ascii="宋体" w:hAnsi="宋体" w:cs="宋体"/>
        </w:rPr>
      </w:r>
      <w:r/>
    </w:p>
    <w:p>
      <w:pPr>
        <w:pStyle w:val="859"/>
        <w:ind w:left="15" w:right="15" w:firstLine="48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（1）本企业（单位）</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（请填写：是、不是）监狱企业。后附省级以上监狱管理局、戒毒管理局（含新疆生产建设兵团）出具的属于监狱企业的证明文件。</w:t>
      </w:r>
      <w:r>
        <w:rPr>
          <w:rFonts w:ascii="宋体" w:hAnsi="宋体" w:cs="宋体"/>
        </w:rPr>
      </w:r>
      <w:r/>
    </w:p>
    <w:p>
      <w:pPr>
        <w:pStyle w:val="859"/>
        <w:ind w:left="15" w:right="15" w:firstLine="48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（2）本企业（单位）</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（请填写：是、不是）为联合体一方，提供本企业（单位）的服务。本企业（单位）提供协议合同金额占到共同投标协议合同总金额的比例为</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w:t>
      </w:r>
      <w:r>
        <w:rPr>
          <w:rFonts w:ascii="宋体" w:hAnsi="宋体" w:cs="宋体"/>
        </w:rPr>
      </w:r>
      <w:r/>
    </w:p>
    <w:p>
      <w:pPr>
        <w:pStyle w:val="859"/>
        <w:ind w:left="15" w:right="15" w:firstLine="48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本企业（单位）对上述声明的真实性负责。如有虚假，将依法承担相应责任。</w:t>
      </w:r>
      <w:r>
        <w:rPr>
          <w:rFonts w:ascii="宋体" w:hAnsi="宋体" w:cs="宋体"/>
        </w:rPr>
      </w:r>
      <w:r/>
    </w:p>
    <w:p>
      <w:pPr>
        <w:pStyle w:val="859"/>
        <w:ind w:left="15" w:right="15" w:firstLine="480"/>
        <w:jc w:val="left"/>
        <w:spacing w:line="440" w:lineRule="exact"/>
        <w:widowControl/>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59"/>
        <w:ind w:left="15" w:right="15" w:firstLine="480"/>
        <w:jc w:val="left"/>
        <w:spacing w:line="440" w:lineRule="exact"/>
        <w:widowControl/>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59"/>
        <w:ind w:right="1560" w:firstLine="444"/>
        <w:jc w:val="center"/>
        <w:spacing w:line="440" w:lineRule="exact"/>
        <w:tabs>
          <w:tab w:val="left" w:pos="4860" w:leader="none"/>
        </w:tabs>
        <w:rPr>
          <w:rFonts w:hint="eastAsia" w:ascii="宋体" w:hAnsi="宋体" w:cs="宋体"/>
          <w:color w:val="000000"/>
          <w:spacing w:val="6"/>
          <w:sz w:val="21"/>
          <w:szCs w:val="21"/>
        </w:rPr>
      </w:pPr>
      <w:r>
        <w:rPr>
          <w:rFonts w:hint="eastAsia" w:ascii="宋体" w:hAnsi="宋体" w:eastAsia="宋体" w:cs="宋体"/>
          <w:color w:val="000000"/>
          <w:spacing w:val="6"/>
          <w:sz w:val="21"/>
          <w:szCs w:val="21"/>
        </w:rPr>
        <w:t xml:space="preserve">                                  单位名称（盖章）：</w:t>
      </w:r>
      <w:r>
        <w:rPr>
          <w:rFonts w:ascii="宋体" w:hAnsi="宋体" w:cs="宋体"/>
        </w:rPr>
      </w:r>
      <w:r/>
    </w:p>
    <w:p>
      <w:pPr>
        <w:pStyle w:val="859"/>
        <w:ind w:firstLine="444"/>
        <w:spacing w:line="440" w:lineRule="exact"/>
        <w:tabs>
          <w:tab w:val="left" w:pos="5250" w:leader="none"/>
        </w:tabs>
        <w:rPr>
          <w:rFonts w:hint="eastAsia" w:ascii="宋体" w:hAnsi="宋体" w:cs="宋体"/>
          <w:color w:val="000000"/>
          <w:sz w:val="21"/>
          <w:szCs w:val="21"/>
        </w:rPr>
      </w:pPr>
      <w:r>
        <w:rPr>
          <w:rFonts w:hint="eastAsia" w:ascii="宋体" w:hAnsi="宋体" w:eastAsia="宋体" w:cs="宋体"/>
          <w:color w:val="000000"/>
          <w:spacing w:val="6"/>
          <w:sz w:val="21"/>
          <w:szCs w:val="21"/>
        </w:rPr>
        <w:t xml:space="preserve">                                          日  期：</w:t>
      </w:r>
      <w:r>
        <w:rPr>
          <w:rFonts w:ascii="宋体" w:hAnsi="宋体" w:cs="宋体"/>
        </w:rPr>
      </w:r>
      <w:r/>
    </w:p>
    <w:p>
      <w:pPr>
        <w:pStyle w:val="859"/>
        <w:ind w:firstLine="422"/>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59"/>
        <w:ind w:firstLine="422"/>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59"/>
        <w:ind w:firstLine="422"/>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59"/>
        <w:ind w:firstLine="422"/>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59"/>
        <w:ind w:firstLine="422"/>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59"/>
        <w:pageBreakBefore/>
        <w:spacing w:line="360" w:lineRule="auto"/>
        <w:widowControl/>
        <w:rPr>
          <w:rFonts w:hint="eastAsia" w:ascii="宋体" w:hAnsi="宋体" w:cs="宋体"/>
          <w:color w:val="000000"/>
          <w:sz w:val="21"/>
          <w:szCs w:val="21"/>
        </w:rPr>
      </w:pPr>
      <w:r>
        <w:rPr>
          <w:rFonts w:hint="eastAsia" w:ascii="宋体" w:hAnsi="宋体" w:cs="宋体"/>
          <w:b/>
          <w:color w:val="000000"/>
          <w:sz w:val="21"/>
          <w:szCs w:val="21"/>
        </w:rPr>
        <w:t xml:space="preserve">6.</w:t>
      </w:r>
      <w:r>
        <w:rPr>
          <w:rFonts w:hint="eastAsia" w:ascii="宋体" w:hAnsi="宋体" w:eastAsia="宋体" w:cs="宋体"/>
          <w:b/>
          <w:bCs/>
          <w:color w:val="000000"/>
          <w:sz w:val="21"/>
          <w:szCs w:val="21"/>
        </w:rPr>
        <w:t xml:space="preserve">投标（响应）保证承诺书</w:t>
      </w:r>
      <w:r>
        <w:rPr>
          <w:rFonts w:ascii="宋体" w:hAnsi="宋体" w:cs="宋体"/>
        </w:rPr>
      </w:r>
      <w:r/>
    </w:p>
    <w:p>
      <w:pPr>
        <w:pStyle w:val="859"/>
        <w:jc w:val="center"/>
        <w:spacing w:line="440" w:lineRule="exact"/>
        <w:tabs>
          <w:tab w:val="left" w:pos="525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投标（响应）保证承诺书</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t xml:space="preserve"> 采购代理机构名称） </w:t>
      </w:r>
      <w:r>
        <w:rPr>
          <w:rFonts w:ascii="宋体" w:hAnsi="宋体" w:cs="宋体"/>
        </w:rPr>
      </w:r>
      <w:r/>
    </w:p>
    <w:p>
      <w:pPr>
        <w:pStyle w:val="859"/>
        <w:ind w:firstLine="42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我（单位/本人，以下统称我单位）自愿参加</w:t>
      </w:r>
      <w:r>
        <w:rPr>
          <w:rFonts w:hint="eastAsia" w:ascii="宋体" w:hAnsi="宋体" w:eastAsia="宋体" w:cs="宋体"/>
          <w:color w:val="000000"/>
          <w:sz w:val="21"/>
          <w:szCs w:val="21"/>
          <w:u w:val="single"/>
        </w:rPr>
        <w:t xml:space="preserve"> （项目名称和采购编号） </w:t>
      </w:r>
      <w:r>
        <w:rPr>
          <w:rFonts w:hint="eastAsia" w:ascii="宋体" w:hAnsi="宋体" w:eastAsia="宋体" w:cs="宋体"/>
          <w:color w:val="000000"/>
          <w:sz w:val="21"/>
          <w:szCs w:val="21"/>
        </w:rPr>
        <w:t xml:space="preserve">的投标（响应），并做出如下承诺：</w:t>
      </w:r>
      <w:r>
        <w:rPr>
          <w:rFonts w:ascii="宋体" w:hAnsi="宋体" w:cs="宋体"/>
        </w:rPr>
      </w:r>
      <w:r/>
    </w:p>
    <w:p>
      <w:pPr>
        <w:pStyle w:val="859"/>
        <w:ind w:firstLine="42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一、除不可抗力外，我单位如果发生以下行为，将在行为发生的10个工作日内，向贵方</w:t>
      </w:r>
      <w:r>
        <w:rPr>
          <w:rFonts w:hint="eastAsia" w:ascii="宋体" w:hAnsi="宋体" w:eastAsia="宋体" w:cs="宋体"/>
          <w:color w:val="000000"/>
          <w:sz w:val="21"/>
          <w:szCs w:val="21"/>
          <w:u w:val="single"/>
        </w:rPr>
        <w:t xml:space="preserve">（或采购人）</w:t>
      </w:r>
      <w:r>
        <w:rPr>
          <w:rFonts w:hint="eastAsia" w:ascii="宋体" w:hAnsi="宋体" w:eastAsia="宋体" w:cs="宋体"/>
          <w:color w:val="000000"/>
          <w:sz w:val="21"/>
          <w:szCs w:val="21"/>
        </w:rPr>
        <w:t xml:space="preserve">支付本采购文件公布的预算金额（或最高限价）的2%作为违约赔偿金（数量不确定的单价采购须约定具体金额）。</w:t>
      </w:r>
      <w:r>
        <w:rPr>
          <w:rFonts w:ascii="宋体" w:hAnsi="宋体" w:cs="宋体"/>
        </w:rPr>
      </w:r>
      <w:r/>
    </w:p>
    <w:p>
      <w:pPr>
        <w:pStyle w:val="859"/>
        <w:ind w:firstLine="42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1.自投标（响应）截止时间至本项目发布中标（成交）公告为止，撤销投标（响应）；</w:t>
      </w:r>
      <w:r>
        <w:rPr>
          <w:rFonts w:ascii="宋体" w:hAnsi="宋体" w:cs="宋体"/>
        </w:rPr>
      </w:r>
      <w:r/>
    </w:p>
    <w:p>
      <w:pPr>
        <w:pStyle w:val="859"/>
        <w:ind w:firstLine="42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2.中标（成交）后不依法与采购人签订合同；</w:t>
      </w:r>
      <w:r>
        <w:rPr>
          <w:rFonts w:ascii="宋体" w:hAnsi="宋体" w:cs="宋体"/>
        </w:rPr>
      </w:r>
      <w:r/>
    </w:p>
    <w:p>
      <w:pPr>
        <w:pStyle w:val="859"/>
        <w:ind w:firstLine="42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3.中标（成交）后不按本采购文件规定向采购人提交履约保证金（如有）；</w:t>
      </w:r>
      <w:r>
        <w:rPr>
          <w:rFonts w:ascii="宋体" w:hAnsi="宋体" w:cs="宋体"/>
        </w:rPr>
      </w:r>
      <w:r/>
    </w:p>
    <w:p>
      <w:pPr>
        <w:pStyle w:val="859"/>
        <w:ind w:firstLine="42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4.中标（成交）后不按本采购文件规定向贵方缴纳采购代理费。</w:t>
      </w:r>
      <w:r>
        <w:rPr>
          <w:rFonts w:ascii="宋体" w:hAnsi="宋体" w:cs="宋体"/>
        </w:rPr>
      </w:r>
      <w:r/>
    </w:p>
    <w:p>
      <w:pPr>
        <w:pStyle w:val="859"/>
        <w:ind w:firstLine="42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二、我单位知晓上述行为的法律后果，承认本承诺书作为贵方</w:t>
      </w:r>
      <w:r>
        <w:rPr>
          <w:rFonts w:hint="eastAsia" w:ascii="宋体" w:hAnsi="宋体" w:eastAsia="宋体" w:cs="宋体"/>
          <w:color w:val="000000"/>
          <w:sz w:val="21"/>
          <w:szCs w:val="21"/>
          <w:u w:val="single"/>
        </w:rPr>
        <w:t xml:space="preserve">（或采购人）</w:t>
      </w:r>
      <w:r>
        <w:rPr>
          <w:rFonts w:hint="eastAsia" w:ascii="宋体" w:hAnsi="宋体" w:eastAsia="宋体" w:cs="宋体"/>
          <w:color w:val="000000"/>
          <w:sz w:val="21"/>
          <w:szCs w:val="21"/>
        </w:rPr>
        <w:t xml:space="preserve">要求我单位履行违约赔偿义务的依据作用。</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 </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投标（响应）人（盖公章）：</w:t>
      </w:r>
      <w:r>
        <w:rPr>
          <w:rFonts w:hint="eastAsia" w:ascii="宋体" w:hAnsi="宋体" w:cs="宋体"/>
          <w:color w:val="000000"/>
          <w:sz w:val="21"/>
          <w:szCs w:val="21"/>
          <w:u w:val="single"/>
        </w:rPr>
        <w:t xml:space="preserve">                                 </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cs="宋体"/>
          <w:color w:val="000000"/>
          <w:sz w:val="21"/>
          <w:szCs w:val="21"/>
          <w:u w:val="single"/>
        </w:rPr>
        <w:t xml:space="preserve">                                                     </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电话：</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传真：</w:t>
      </w:r>
      <w:r>
        <w:rPr>
          <w:rFonts w:hint="eastAsia" w:ascii="宋体" w:hAnsi="宋体" w:cs="宋体"/>
          <w:color w:val="000000"/>
          <w:sz w:val="21"/>
          <w:szCs w:val="21"/>
          <w:u w:val="single"/>
        </w:rPr>
        <w:t xml:space="preserve">                                                     </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电子邮件：</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邮编：</w:t>
      </w:r>
      <w:r>
        <w:rPr>
          <w:rFonts w:hint="eastAsia" w:ascii="宋体" w:hAnsi="宋体" w:cs="宋体"/>
          <w:color w:val="000000"/>
          <w:sz w:val="21"/>
          <w:szCs w:val="21"/>
          <w:u w:val="single"/>
        </w:rPr>
        <w:t xml:space="preserve">                                                     </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法定代表人或委托代理人（签字或盖章）： </w:t>
      </w:r>
      <w:r>
        <w:rPr>
          <w:rFonts w:hint="eastAsia" w:ascii="宋体" w:hAnsi="宋体" w:cs="宋体"/>
          <w:color w:val="000000"/>
          <w:sz w:val="21"/>
          <w:szCs w:val="21"/>
          <w:u w:val="single"/>
        </w:rPr>
        <w:t xml:space="preserve">                    </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日期：</w:t>
      </w:r>
      <w:r>
        <w:rPr>
          <w:rFonts w:hint="eastAsia" w:ascii="宋体" w:hAnsi="宋体" w:cs="宋体"/>
          <w:color w:val="000000"/>
          <w:sz w:val="21"/>
          <w:szCs w:val="21"/>
          <w:u w:val="single"/>
        </w:rPr>
        <w:t xml:space="preserve">                                                     </w:t>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pageBreakBefore/>
        <w:spacing w:line="440" w:lineRule="exact"/>
        <w:rPr>
          <w:rFonts w:ascii="宋体" w:hAnsi="宋体" w:cs="宋体"/>
          <w:b/>
          <w:color w:val="000000"/>
          <w:sz w:val="21"/>
          <w:szCs w:val="20"/>
        </w:rPr>
        <w:outlineLvl w:val="1"/>
      </w:pPr>
      <w:r>
        <w:rPr>
          <w:rFonts w:hint="eastAsia" w:ascii="宋体" w:hAnsi="宋体" w:eastAsia="宋体" w:cs="宋体"/>
          <w:b/>
          <w:bCs/>
          <w:color w:val="000000"/>
          <w:sz w:val="21"/>
          <w:szCs w:val="21"/>
          <w:lang w:val="zh-CN"/>
        </w:rPr>
        <w:t xml:space="preserve">附件</w:t>
      </w:r>
      <w:r>
        <w:rPr>
          <w:rFonts w:hint="eastAsia" w:ascii="宋体" w:hAnsi="宋体" w:cs="宋体"/>
          <w:b/>
          <w:bCs/>
          <w:color w:val="000000"/>
          <w:sz w:val="21"/>
          <w:szCs w:val="21"/>
        </w:rPr>
        <w:t xml:space="preserve">7</w:t>
      </w:r>
      <w:r>
        <w:rPr>
          <w:rFonts w:hint="eastAsia" w:ascii="宋体" w:hAnsi="宋体" w:eastAsia="宋体" w:cs="宋体"/>
          <w:b/>
          <w:bCs/>
          <w:color w:val="000000"/>
          <w:sz w:val="21"/>
          <w:szCs w:val="21"/>
          <w:lang w:val="zh-CN"/>
        </w:rPr>
        <w:t xml:space="preserve">、</w:t>
      </w:r>
      <w:r>
        <w:rPr>
          <w:rFonts w:hint="eastAsia" w:ascii="宋体" w:hAnsi="宋体" w:eastAsia="宋体" w:cs="宋体"/>
          <w:b/>
          <w:color w:val="000000"/>
          <w:sz w:val="21"/>
          <w:szCs w:val="21"/>
        </w:rPr>
        <w:t xml:space="preserve">政府采购合同信用融资政策告知函（该项为通知内容，不需要作为投标文件组成）</w:t>
      </w:r>
      <w:r>
        <w:rPr>
          <w:rFonts w:ascii="宋体" w:hAnsi="宋体" w:cs="宋体"/>
        </w:rPr>
      </w:r>
      <w:r/>
    </w:p>
    <w:p>
      <w:pPr>
        <w:pStyle w:val="859"/>
        <w:jc w:val="center"/>
        <w:spacing w:line="440" w:lineRule="exact"/>
        <w:rPr>
          <w:rFonts w:ascii="宋体" w:hAnsi="宋体" w:cs="宋体"/>
          <w:b/>
          <w:color w:val="000000"/>
          <w:sz w:val="28"/>
          <w:szCs w:val="28"/>
        </w:rPr>
      </w:pPr>
      <w:r>
        <w:rPr>
          <w:rFonts w:ascii="宋体" w:hAnsi="宋体" w:cs="宋体"/>
          <w:b/>
          <w:color w:val="000000"/>
          <w:sz w:val="28"/>
          <w:szCs w:val="28"/>
        </w:rPr>
      </w:r>
      <w:r>
        <w:rPr>
          <w:rFonts w:ascii="宋体" w:hAnsi="宋体" w:cs="宋体"/>
        </w:rPr>
      </w:r>
      <w:r/>
    </w:p>
    <w:p>
      <w:pPr>
        <w:pStyle w:val="859"/>
        <w:jc w:val="center"/>
        <w:spacing w:line="440" w:lineRule="exact"/>
        <w:rPr>
          <w:rFonts w:ascii="宋体" w:hAnsi="宋体" w:cs="宋体"/>
          <w:b/>
          <w:color w:val="000000"/>
          <w:sz w:val="28"/>
          <w:szCs w:val="28"/>
        </w:rPr>
      </w:pPr>
      <w:r>
        <w:rPr>
          <w:rFonts w:hint="eastAsia" w:ascii="宋体" w:hAnsi="宋体" w:eastAsia="宋体" w:cs="宋体"/>
          <w:b/>
          <w:color w:val="000000"/>
          <w:sz w:val="28"/>
          <w:szCs w:val="28"/>
        </w:rPr>
        <w:t xml:space="preserve">政府采购合同信用融资政策告知函</w:t>
      </w:r>
      <w:r>
        <w:rPr>
          <w:rFonts w:ascii="宋体" w:hAnsi="宋体" w:cs="宋体"/>
        </w:rPr>
      </w:r>
      <w:r/>
    </w:p>
    <w:p>
      <w:pPr>
        <w:pStyle w:val="859"/>
        <w:spacing w:line="440" w:lineRule="exact"/>
        <w:rPr>
          <w:rFonts w:ascii="宋体" w:hAnsi="宋体" w:cs="宋体"/>
          <w:b/>
          <w:color w:val="000000"/>
          <w:sz w:val="21"/>
          <w:szCs w:val="21"/>
        </w:rPr>
      </w:pPr>
      <w:r>
        <w:rPr>
          <w:rFonts w:hint="eastAsia" w:ascii="宋体" w:hAnsi="宋体" w:eastAsia="宋体" w:cs="宋体"/>
          <w:b/>
          <w:color w:val="000000"/>
          <w:sz w:val="21"/>
          <w:szCs w:val="21"/>
        </w:rPr>
        <w:t xml:space="preserve">各政府采购供应商：</w:t>
      </w:r>
      <w:r>
        <w:rPr>
          <w:rFonts w:ascii="宋体" w:hAnsi="宋体" w:cs="宋体"/>
        </w:rPr>
      </w:r>
      <w:r/>
    </w:p>
    <w:p>
      <w:pPr>
        <w:pStyle w:val="859"/>
        <w:ind w:firstLine="420"/>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欢迎贵公司参加苏州市政府采购活动！</w:t>
      </w:r>
      <w:r>
        <w:rPr>
          <w:rFonts w:ascii="宋体" w:hAnsi="宋体" w:cs="宋体"/>
        </w:rPr>
      </w:r>
      <w:r/>
    </w:p>
    <w:p>
      <w:pPr>
        <w:pStyle w:val="859"/>
        <w:ind w:firstLine="420"/>
        <w:jc w:val="left"/>
        <w:spacing w:line="440" w:lineRule="exact"/>
        <w:rPr>
          <w:rFonts w:ascii="宋体" w:hAnsi="宋体" w:cs="宋体"/>
          <w:b/>
          <w:bCs/>
          <w:color w:val="000000"/>
          <w:sz w:val="21"/>
          <w:szCs w:val="21"/>
        </w:rPr>
      </w:pPr>
      <w:r>
        <w:rPr>
          <w:rFonts w:hint="eastAsia" w:ascii="宋体" w:hAnsi="宋体" w:eastAsia="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27"/>
        <w:ind w:left="480"/>
        <w:rPr>
          <w:rFonts w:hint="eastAsia" w:ascii="宋体" w:hAnsi="宋体" w:cs="宋体"/>
          <w:color w:val="000000"/>
        </w:rPr>
      </w:pPr>
      <w:r>
        <w:rPr>
          <w:rFonts w:hint="eastAsia" w:ascii="宋体" w:hAnsi="宋体" w:cs="宋体"/>
          <w:color w:val="000000"/>
        </w:rPr>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1"/>
        <w:rPr>
          <w:rFonts w:hint="eastAsia" w:ascii="宋体" w:hAnsi="宋体" w:cs="宋体"/>
          <w:color w:val="000000"/>
        </w:rPr>
      </w:pPr>
      <w:r>
        <w:rPr>
          <w:rFonts w:hint="eastAsia" w:ascii="宋体" w:hAnsi="宋体" w:cs="宋体"/>
          <w:color w:val="000000"/>
        </w:rPr>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1060"/>
        <w:ind w:firstLine="480"/>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1060"/>
        <w:ind w:firstLine="480"/>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1060"/>
        <w:ind w:firstLine="480"/>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1060"/>
        <w:ind w:firstLine="480"/>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1060"/>
        <w:ind w:firstLine="480"/>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860"/>
        <w:ind w:left="431" w:right="-28" w:hanging="431"/>
        <w:jc w:val="center"/>
        <w:spacing w:before="166" w:after="0" w:line="360" w:lineRule="auto"/>
        <w:tabs>
          <w:tab w:val="left" w:pos="432" w:leader="none"/>
        </w:tabs>
        <w:rPr>
          <w:rFonts w:hint="eastAsia" w:ascii="宋体" w:hAnsi="宋体" w:cs="宋体"/>
          <w:color w:val="000000"/>
        </w:rPr>
      </w:pPr>
      <w:r>
        <w:rPr>
          <w:rFonts w:hint="eastAsia" w:ascii="宋体" w:hAnsi="宋体" w:cs="宋体"/>
          <w:color w:val="000000"/>
        </w:rPr>
      </w:r>
      <w:r>
        <w:rPr>
          <w:rFonts w:ascii="宋体" w:hAnsi="宋体" w:cs="宋体"/>
        </w:rPr>
      </w:r>
      <w:r/>
    </w:p>
    <w:p>
      <w:pPr>
        <w:pStyle w:val="859"/>
        <w:rPr>
          <w:rFonts w:hint="eastAsia" w:ascii="宋体" w:hAnsi="宋体" w:cs="宋体"/>
          <w:color w:val="000000"/>
        </w:rPr>
      </w:pPr>
      <w:r>
        <w:rPr>
          <w:rFonts w:hint="eastAsia" w:ascii="宋体" w:hAnsi="宋体" w:cs="宋体"/>
          <w:color w:val="000000"/>
        </w:rPr>
      </w:r>
      <w:r>
        <w:rPr>
          <w:rFonts w:ascii="宋体" w:hAnsi="宋体" w:cs="宋体"/>
        </w:rPr>
      </w:r>
      <w:r/>
    </w:p>
    <w:p>
      <w:pPr>
        <w:pStyle w:val="860"/>
        <w:ind w:left="431" w:right="-28" w:hanging="431"/>
        <w:jc w:val="center"/>
        <w:spacing w:before="166" w:after="0" w:line="360" w:lineRule="auto"/>
        <w:tabs>
          <w:tab w:val="left" w:pos="432" w:leader="none"/>
        </w:tabs>
        <w:rPr>
          <w:rFonts w:hint="eastAsia" w:ascii="宋体" w:hAnsi="宋体" w:cs="宋体"/>
          <w:color w:val="000000"/>
        </w:rPr>
      </w:pPr>
      <w:r>
        <w:rPr>
          <w:rFonts w:hint="eastAsia" w:ascii="宋体" w:hAnsi="宋体" w:cs="宋体"/>
          <w:color w:val="000000"/>
        </w:rPr>
      </w:r>
      <w:r>
        <w:rPr>
          <w:rFonts w:ascii="宋体" w:hAnsi="宋体" w:cs="宋体"/>
        </w:rPr>
      </w:r>
      <w:r/>
    </w:p>
    <w:p>
      <w:pPr>
        <w:pStyle w:val="916"/>
        <w:ind w:firstLine="420"/>
        <w:spacing w:line="44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916"/>
        <w:ind w:firstLine="420"/>
        <w:spacing w:line="44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60"/>
        <w:ind w:left="431" w:right="-28" w:hanging="431"/>
        <w:jc w:val="center"/>
        <w:spacing w:before="166" w:after="0" w:line="360" w:lineRule="auto"/>
        <w:tabs>
          <w:tab w:val="left" w:pos="432" w:leader="none"/>
        </w:tabs>
        <w:rPr>
          <w:rFonts w:ascii="宋体" w:hAnsi="宋体" w:cs="宋体"/>
          <w:color w:val="000000"/>
          <w:sz w:val="21"/>
          <w:szCs w:val="21"/>
        </w:rPr>
      </w:pPr>
      <w:r>
        <w:rPr>
          <w:rFonts w:hint="eastAsia" w:ascii="宋体" w:hAnsi="宋体" w:eastAsia="宋体" w:cs="宋体"/>
          <w:color w:val="000000"/>
        </w:rPr>
        <w:t xml:space="preserve">第四章  招标书</w:t>
      </w:r>
      <w:r>
        <w:rPr>
          <w:rFonts w:ascii="宋体" w:hAnsi="宋体" w:cs="宋体"/>
        </w:rPr>
      </w:r>
      <w:r/>
    </w:p>
    <w:p>
      <w:pPr>
        <w:pStyle w:val="916"/>
        <w:ind w:firstLine="420"/>
        <w:spacing w:line="440" w:lineRule="exact"/>
        <w:rPr>
          <w:rFonts w:ascii="宋体" w:hAnsi="宋体" w:cs="宋体"/>
          <w:color w:val="000000"/>
          <w:sz w:val="21"/>
          <w:szCs w:val="21"/>
        </w:rPr>
      </w:pPr>
      <w:r>
        <w:rPr>
          <w:rFonts w:ascii="宋体" w:hAnsi="宋体" w:eastAsia="宋体" w:cs="宋体"/>
          <w:color w:val="000000"/>
          <w:sz w:val="21"/>
          <w:szCs w:val="21"/>
        </w:rPr>
        <w:t xml:space="preserve">受</w:t>
      </w:r>
      <w:r>
        <w:rPr>
          <w:rFonts w:ascii="宋体" w:hAnsi="宋体" w:eastAsia="宋体" w:cs="宋体"/>
          <w:color w:val="000000"/>
          <w:sz w:val="21"/>
          <w:szCs w:val="21"/>
          <w:lang w:eastAsia="zh-CN"/>
        </w:rPr>
        <w:t xml:space="preserve">苏州市吴江区公路事业发展中心</w:t>
      </w:r>
      <w:r>
        <w:rPr>
          <w:rFonts w:ascii="宋体" w:hAnsi="宋体" w:eastAsia="宋体" w:cs="宋体"/>
          <w:color w:val="000000"/>
          <w:sz w:val="21"/>
          <w:szCs w:val="21"/>
        </w:rPr>
        <w:t xml:space="preserve">的委托，苏州欣禾诚工程咨询服务有限公司作为招标机构，对该单位采购的</w:t>
      </w:r>
      <w:r>
        <w:rPr>
          <w:rFonts w:ascii="宋体" w:hAnsi="宋体" w:eastAsia="宋体" w:cs="宋体"/>
          <w:color w:val="000000"/>
          <w:sz w:val="21"/>
          <w:szCs w:val="21"/>
          <w:lang w:eastAsia="zh-CN"/>
        </w:rPr>
        <w:t xml:space="preserve">230省道吴江收费站、258省道桃源收费站财政电子票据改革收费系统改造项目</w:t>
      </w:r>
      <w:r>
        <w:rPr>
          <w:rFonts w:ascii="宋体" w:hAnsi="宋体" w:eastAsia="宋体" w:cs="宋体"/>
          <w:color w:val="000000"/>
          <w:sz w:val="21"/>
          <w:szCs w:val="21"/>
        </w:rPr>
        <w:t xml:space="preserve">进行公开招标。</w:t>
      </w:r>
      <w:r>
        <w:rPr>
          <w:rFonts w:ascii="宋体" w:hAnsi="宋体" w:cs="宋体"/>
        </w:rPr>
      </w:r>
      <w:r/>
    </w:p>
    <w:p>
      <w:pPr>
        <w:pStyle w:val="859"/>
        <w:numPr>
          <w:ilvl w:val="0"/>
          <w:numId w:val="6"/>
        </w:numPr>
        <w:spacing w:line="440" w:lineRule="exact"/>
        <w:tabs>
          <w:tab w:val="left" w:pos="360" w:leader="none"/>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招标编号：</w:t>
      </w:r>
      <w:r>
        <w:rPr>
          <w:rFonts w:hint="eastAsia" w:ascii="宋体" w:hAnsi="宋体" w:cs="宋体"/>
          <w:color w:val="000000"/>
          <w:sz w:val="21"/>
          <w:szCs w:val="21"/>
          <w:lang w:eastAsia="zh-CN"/>
        </w:rPr>
        <w:t xml:space="preserve">JSZC-320509-SXHC-G2025-0023</w:t>
      </w:r>
      <w:r>
        <w:rPr>
          <w:rFonts w:ascii="宋体" w:hAnsi="宋体" w:cs="宋体"/>
        </w:rPr>
      </w:r>
      <w:r/>
    </w:p>
    <w:p>
      <w:pPr>
        <w:pStyle w:val="859"/>
        <w:numPr>
          <w:ilvl w:val="0"/>
          <w:numId w:val="6"/>
        </w:numPr>
        <w:spacing w:line="440" w:lineRule="exact"/>
        <w:tabs>
          <w:tab w:val="left" w:pos="360" w:leader="none"/>
          <w:tab w:val="left" w:pos="540" w:leader="none"/>
        </w:tabs>
        <w:rPr>
          <w:rFonts w:hint="eastAsia" w:ascii="宋体" w:hAnsi="宋体" w:cs="宋体"/>
          <w:color w:val="000000"/>
          <w:sz w:val="21"/>
          <w:szCs w:val="21"/>
        </w:rPr>
      </w:pPr>
      <w:r>
        <w:rPr>
          <w:rFonts w:hint="eastAsia" w:ascii="宋体" w:hAnsi="宋体" w:eastAsia="宋体" w:cs="宋体"/>
          <w:b/>
          <w:color w:val="000000"/>
          <w:sz w:val="21"/>
          <w:szCs w:val="21"/>
        </w:rPr>
        <w:t xml:space="preserve">招标项目</w:t>
      </w:r>
      <w:r>
        <w:rPr>
          <w:rFonts w:hint="eastAsia" w:ascii="宋体" w:hAnsi="宋体" w:eastAsia="宋体" w:cs="宋体"/>
          <w:color w:val="000000"/>
          <w:sz w:val="21"/>
          <w:szCs w:val="21"/>
        </w:rPr>
        <w:t xml:space="preserve">：230省道吴江收费站、258省道桃源收费站财政电子票据改革收费系统改造项目</w:t>
      </w:r>
      <w:r>
        <w:rPr>
          <w:rFonts w:ascii="宋体" w:hAnsi="宋体" w:cs="宋体"/>
        </w:rPr>
      </w:r>
      <w:r/>
    </w:p>
    <w:p>
      <w:pPr>
        <w:pStyle w:val="859"/>
        <w:numPr>
          <w:ilvl w:val="0"/>
          <w:numId w:val="6"/>
        </w:numPr>
        <w:spacing w:line="440" w:lineRule="exact"/>
        <w:tabs>
          <w:tab w:val="left" w:pos="360" w:leader="none"/>
          <w:tab w:val="left" w:pos="540" w:leader="none"/>
        </w:tabs>
        <w:rPr>
          <w:rFonts w:hint="eastAsia" w:ascii="宋体" w:hAnsi="宋体" w:cs="宋体"/>
          <w:color w:val="000000"/>
          <w:sz w:val="21"/>
          <w:szCs w:val="21"/>
        </w:rPr>
      </w:pPr>
      <w:r>
        <w:rPr>
          <w:rFonts w:hint="eastAsia" w:ascii="宋体" w:hAnsi="宋体" w:eastAsia="宋体" w:cs="宋体"/>
          <w:b/>
          <w:bCs/>
          <w:color w:val="000000"/>
          <w:sz w:val="21"/>
          <w:szCs w:val="21"/>
        </w:rPr>
        <w:t xml:space="preserve">预算金额：</w:t>
      </w:r>
      <w:r>
        <w:rPr>
          <w:rFonts w:hint="eastAsia" w:ascii="宋体" w:hAnsi="宋体" w:eastAsia="宋体" w:cs="宋体"/>
          <w:color w:val="000000"/>
          <w:sz w:val="21"/>
          <w:szCs w:val="21"/>
        </w:rPr>
        <w:t xml:space="preserve">人民币壹佰</w:t>
      </w:r>
      <w:r>
        <w:rPr>
          <w:rFonts w:hint="eastAsia" w:ascii="宋体" w:hAnsi="宋体" w:eastAsia="宋体" w:cs="宋体"/>
          <w:color w:val="000000"/>
          <w:sz w:val="21"/>
          <w:szCs w:val="21"/>
          <w:lang w:eastAsia="zh-CN"/>
        </w:rPr>
        <w:t xml:space="preserve">捌</w:t>
      </w:r>
      <w:r>
        <w:rPr>
          <w:rFonts w:hint="eastAsia" w:ascii="宋体" w:hAnsi="宋体" w:eastAsia="宋体" w:cs="宋体"/>
          <w:color w:val="000000"/>
          <w:sz w:val="21"/>
          <w:szCs w:val="21"/>
        </w:rPr>
        <w:t xml:space="preserve">拾万元整（¥1</w:t>
      </w:r>
      <w:r>
        <w:rPr>
          <w:rFonts w:hint="eastAsia" w:ascii="宋体" w:hAnsi="宋体" w:eastAsia="宋体" w:cs="宋体"/>
          <w:color w:val="000000"/>
          <w:sz w:val="21"/>
          <w:szCs w:val="21"/>
          <w:lang w:val="en-US" w:eastAsia="zh-CN"/>
        </w:rPr>
        <w:t xml:space="preserve">80</w:t>
      </w:r>
      <w:r>
        <w:rPr>
          <w:rFonts w:hint="eastAsia" w:ascii="宋体" w:hAnsi="宋体" w:eastAsia="宋体" w:cs="宋体"/>
          <w:color w:val="000000"/>
          <w:sz w:val="21"/>
          <w:szCs w:val="21"/>
        </w:rPr>
        <w:t xml:space="preserve">0000.00），其中</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4260"/>
        <w:gridCol w:w="4010"/>
        <w:gridCol w:w="972"/>
      </w:tblGrid>
      <w:tr>
        <w:trPr>
          <w:trHeight w:val="454"/>
        </w:trPr>
        <w:tc>
          <w:tcPr>
            <w:tcW w:w="876" w:type="dxa"/>
            <w:vAlign w:val="center"/>
            <w:textDirection w:val="lrTb"/>
            <w:noWrap w:val="false"/>
          </w:tcPr>
          <w:p>
            <w:pPr>
              <w:pStyle w:val="859"/>
              <w:ind w:left="-146" w:right="-120"/>
              <w:jc w:val="center"/>
              <w:spacing w:line="40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序号</w:t>
            </w:r>
            <w:r>
              <w:rPr>
                <w:rFonts w:ascii="宋体" w:hAnsi="宋体" w:cs="宋体"/>
              </w:rPr>
            </w:r>
            <w:r/>
          </w:p>
        </w:tc>
        <w:tc>
          <w:tcPr>
            <w:tcW w:w="4260" w:type="dxa"/>
            <w:vAlign w:val="center"/>
            <w:textDirection w:val="lrTb"/>
            <w:noWrap w:val="false"/>
          </w:tcPr>
          <w:p>
            <w:pPr>
              <w:pStyle w:val="859"/>
              <w:ind w:left="-72" w:right="-24"/>
              <w:jc w:val="center"/>
              <w:spacing w:line="400" w:lineRule="exact"/>
              <w:tabs>
                <w:tab w:val="left" w:pos="341"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分项内容</w:t>
            </w:r>
            <w:r>
              <w:rPr>
                <w:rFonts w:ascii="宋体" w:hAnsi="宋体" w:cs="宋体"/>
              </w:rPr>
            </w:r>
            <w:r/>
          </w:p>
        </w:tc>
        <w:tc>
          <w:tcPr>
            <w:tcW w:w="4010" w:type="dxa"/>
            <w:vAlign w:val="center"/>
            <w:textDirection w:val="lrTb"/>
            <w:noWrap w:val="false"/>
          </w:tcPr>
          <w:p>
            <w:pPr>
              <w:pStyle w:val="859"/>
              <w:ind w:left="-146" w:right="-120"/>
              <w:jc w:val="center"/>
              <w:spacing w:line="40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预算金额</w:t>
            </w:r>
            <w:r>
              <w:rPr>
                <w:rFonts w:ascii="宋体" w:hAnsi="宋体" w:cs="宋体"/>
              </w:rPr>
            </w:r>
            <w:r/>
          </w:p>
        </w:tc>
        <w:tc>
          <w:tcPr>
            <w:tcW w:w="972" w:type="dxa"/>
            <w:vAlign w:val="center"/>
            <w:textDirection w:val="lrTb"/>
            <w:noWrap w:val="false"/>
          </w:tcPr>
          <w:p>
            <w:pPr>
              <w:pStyle w:val="859"/>
              <w:ind w:left="-146" w:right="-120"/>
              <w:jc w:val="center"/>
              <w:spacing w:line="40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备注</w:t>
            </w:r>
            <w:r>
              <w:rPr>
                <w:rFonts w:ascii="宋体" w:hAnsi="宋体" w:cs="宋体"/>
              </w:rPr>
            </w:r>
            <w:r/>
          </w:p>
        </w:tc>
      </w:tr>
      <w:tr>
        <w:trPr>
          <w:trHeight w:val="454"/>
        </w:trPr>
        <w:tc>
          <w:tcPr>
            <w:tcW w:w="876" w:type="dxa"/>
            <w:vAlign w:val="center"/>
            <w:textDirection w:val="lrTb"/>
            <w:noWrap w:val="false"/>
          </w:tcPr>
          <w:p>
            <w:pPr>
              <w:pStyle w:val="859"/>
              <w:jc w:val="center"/>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1</w:t>
            </w:r>
            <w:r>
              <w:rPr>
                <w:rFonts w:ascii="宋体" w:hAnsi="宋体" w:cs="宋体"/>
              </w:rPr>
            </w:r>
            <w:r/>
          </w:p>
        </w:tc>
        <w:tc>
          <w:tcPr>
            <w:tcW w:w="4260" w:type="dxa"/>
            <w:vAlign w:val="center"/>
            <w:textDirection w:val="lrTb"/>
            <w:noWrap w:val="false"/>
          </w:tcPr>
          <w:p>
            <w:pPr>
              <w:pStyle w:val="859"/>
              <w:ind w:right="-24"/>
              <w:jc w:val="center"/>
              <w:spacing w:line="400" w:lineRule="exact"/>
              <w:tabs>
                <w:tab w:val="left" w:pos="341"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230省道吴江收费站财政电子票据改革收费系统改造项目</w:t>
            </w:r>
            <w:r>
              <w:rPr>
                <w:rFonts w:ascii="宋体" w:hAnsi="宋体" w:cs="宋体"/>
              </w:rPr>
            </w:r>
            <w:r/>
          </w:p>
        </w:tc>
        <w:tc>
          <w:tcPr>
            <w:tcW w:w="4010" w:type="dxa"/>
            <w:vAlign w:val="center"/>
            <w:textDirection w:val="lrTb"/>
            <w:noWrap w:val="false"/>
          </w:tcPr>
          <w:p>
            <w:pPr>
              <w:pStyle w:val="859"/>
              <w:ind w:right="-24"/>
              <w:jc w:val="center"/>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人民币柒拾</w:t>
            </w:r>
            <w:r>
              <w:rPr>
                <w:rFonts w:hint="eastAsia" w:ascii="宋体" w:hAnsi="宋体" w:eastAsia="宋体" w:cs="宋体"/>
                <w:color w:val="000000"/>
                <w:sz w:val="21"/>
                <w:szCs w:val="21"/>
                <w:lang w:val="en-US" w:eastAsia="zh-CN"/>
              </w:rPr>
              <w:t xml:space="preserve">伍万</w:t>
            </w:r>
            <w:r>
              <w:rPr>
                <w:rFonts w:hint="eastAsia" w:ascii="宋体" w:hAnsi="宋体" w:eastAsia="宋体" w:cs="宋体"/>
                <w:color w:val="000000"/>
                <w:sz w:val="21"/>
                <w:szCs w:val="21"/>
              </w:rPr>
              <w:t xml:space="preserve">元整（¥7</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0000.00）</w:t>
            </w:r>
            <w:r>
              <w:rPr>
                <w:rFonts w:ascii="宋体" w:hAnsi="宋体" w:cs="宋体"/>
              </w:rPr>
            </w:r>
            <w:r/>
          </w:p>
        </w:tc>
        <w:tc>
          <w:tcPr>
            <w:tcW w:w="972" w:type="dxa"/>
            <w:vAlign w:val="center"/>
            <w:textDirection w:val="lrTb"/>
            <w:noWrap w:val="false"/>
          </w:tcPr>
          <w:p>
            <w:pPr>
              <w:pStyle w:val="859"/>
              <w:ind w:right="-24"/>
              <w:jc w:val="center"/>
              <w:spacing w:line="400" w:lineRule="exact"/>
              <w:tabs>
                <w:tab w:val="left" w:pos="341" w:leader="none"/>
              </w:tabs>
              <w:rPr>
                <w:rFonts w:ascii="宋体" w:hAnsi="宋体" w:cs="宋体"/>
                <w:color w:val="000000"/>
                <w:sz w:val="21"/>
                <w:szCs w:val="21"/>
              </w:rPr>
            </w:pPr>
            <w:r>
              <w:rPr>
                <w:rFonts w:ascii="宋体" w:hAnsi="宋体" w:eastAsia="宋体" w:cs="宋体"/>
                <w:color w:val="000000"/>
                <w:sz w:val="21"/>
                <w:szCs w:val="21"/>
              </w:rPr>
            </w:r>
            <w:r>
              <w:rPr>
                <w:rFonts w:ascii="宋体" w:hAnsi="宋体" w:cs="宋体"/>
              </w:rPr>
            </w:r>
            <w:r/>
          </w:p>
        </w:tc>
      </w:tr>
      <w:tr>
        <w:trPr>
          <w:trHeight w:val="454"/>
        </w:trPr>
        <w:tc>
          <w:tcPr>
            <w:tcW w:w="876" w:type="dxa"/>
            <w:vAlign w:val="center"/>
            <w:textDirection w:val="lrTb"/>
            <w:noWrap w:val="false"/>
          </w:tcPr>
          <w:p>
            <w:pPr>
              <w:pStyle w:val="859"/>
              <w:jc w:val="center"/>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2</w:t>
            </w:r>
            <w:r>
              <w:rPr>
                <w:rFonts w:ascii="宋体" w:hAnsi="宋体" w:cs="宋体"/>
              </w:rPr>
            </w:r>
            <w:r/>
          </w:p>
        </w:tc>
        <w:tc>
          <w:tcPr>
            <w:tcW w:w="4260" w:type="dxa"/>
            <w:vAlign w:val="center"/>
            <w:textDirection w:val="lrTb"/>
            <w:noWrap w:val="false"/>
          </w:tcPr>
          <w:p>
            <w:pPr>
              <w:pStyle w:val="859"/>
              <w:ind w:right="-24"/>
              <w:jc w:val="center"/>
              <w:spacing w:line="400" w:lineRule="exact"/>
              <w:tabs>
                <w:tab w:val="left" w:pos="341"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258省道桃源收费站财政电子票据改革收费系统改造项目</w:t>
            </w:r>
            <w:r>
              <w:rPr>
                <w:rFonts w:ascii="宋体" w:hAnsi="宋体" w:cs="宋体"/>
              </w:rPr>
            </w:r>
            <w:r/>
          </w:p>
        </w:tc>
        <w:tc>
          <w:tcPr>
            <w:tcW w:w="4010" w:type="dxa"/>
            <w:vAlign w:val="center"/>
            <w:textDirection w:val="lrTb"/>
            <w:noWrap w:val="false"/>
          </w:tcPr>
          <w:p>
            <w:pPr>
              <w:pStyle w:val="859"/>
              <w:ind w:right="-24"/>
              <w:jc w:val="center"/>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人民币壹佰零</w:t>
            </w:r>
            <w:r>
              <w:rPr>
                <w:rFonts w:hint="eastAsia" w:ascii="宋体" w:hAnsi="宋体" w:eastAsia="宋体" w:cs="宋体"/>
                <w:color w:val="000000"/>
                <w:sz w:val="21"/>
                <w:szCs w:val="21"/>
                <w:lang w:eastAsia="zh-CN"/>
              </w:rPr>
              <w:t xml:space="preserve">伍</w:t>
            </w:r>
            <w:r>
              <w:rPr>
                <w:rFonts w:hint="eastAsia" w:ascii="宋体" w:hAnsi="宋体" w:eastAsia="宋体" w:cs="宋体"/>
                <w:color w:val="000000"/>
                <w:sz w:val="21"/>
                <w:szCs w:val="21"/>
              </w:rPr>
              <w:t xml:space="preserve">万元整（¥10</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0000.00）</w:t>
            </w:r>
            <w:r>
              <w:rPr>
                <w:rFonts w:ascii="宋体" w:hAnsi="宋体" w:cs="宋体"/>
              </w:rPr>
            </w:r>
            <w:r/>
          </w:p>
        </w:tc>
        <w:tc>
          <w:tcPr>
            <w:tcW w:w="972" w:type="dxa"/>
            <w:vAlign w:val="center"/>
            <w:textDirection w:val="lrTb"/>
            <w:noWrap w:val="false"/>
          </w:tcPr>
          <w:p>
            <w:pPr>
              <w:pStyle w:val="859"/>
              <w:ind w:right="-24"/>
              <w:jc w:val="center"/>
              <w:spacing w:line="400" w:lineRule="exact"/>
              <w:tabs>
                <w:tab w:val="left" w:pos="341" w:leader="none"/>
              </w:tabs>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bl>
    <w:p>
      <w:pPr>
        <w:pStyle w:val="859"/>
        <w:numPr>
          <w:ilvl w:val="0"/>
          <w:numId w:val="6"/>
        </w:numPr>
        <w:ind w:left="420" w:hanging="420"/>
        <w:spacing w:line="440" w:lineRule="exact"/>
        <w:tabs>
          <w:tab w:val="left" w:pos="360" w:leader="none"/>
          <w:tab w:val="left" w:pos="540" w:leader="none"/>
        </w:tabs>
        <w:rPr>
          <w:rFonts w:hint="eastAsia" w:ascii="宋体" w:hAnsi="宋体" w:cs="宋体"/>
          <w:color w:val="000000"/>
          <w:sz w:val="21"/>
          <w:szCs w:val="21"/>
        </w:rPr>
      </w:pPr>
      <w:r>
        <w:rPr>
          <w:rFonts w:hint="eastAsia" w:ascii="宋体" w:hAnsi="宋体" w:eastAsia="宋体" w:cs="宋体"/>
          <w:b/>
          <w:bCs/>
          <w:color w:val="000000"/>
          <w:sz w:val="21"/>
          <w:szCs w:val="21"/>
        </w:rPr>
        <w:t xml:space="preserve">最高限价：</w:t>
      </w:r>
      <w:r>
        <w:rPr>
          <w:rFonts w:hint="eastAsia" w:ascii="宋体" w:hAnsi="宋体" w:eastAsia="宋体" w:cs="宋体"/>
          <w:color w:val="000000"/>
          <w:sz w:val="21"/>
          <w:szCs w:val="21"/>
        </w:rPr>
        <w:t xml:space="preserve">人民币壹佰柒拾壹万元整（¥1710000.00），其中</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4260"/>
        <w:gridCol w:w="4010"/>
        <w:gridCol w:w="972"/>
      </w:tblGrid>
      <w:tr>
        <w:trPr>
          <w:trHeight w:val="454"/>
        </w:trPr>
        <w:tc>
          <w:tcPr>
            <w:tcW w:w="876" w:type="dxa"/>
            <w:vAlign w:val="center"/>
            <w:textDirection w:val="lrTb"/>
            <w:noWrap w:val="false"/>
          </w:tcPr>
          <w:p>
            <w:pPr>
              <w:pStyle w:val="859"/>
              <w:ind w:left="-146" w:right="-120"/>
              <w:jc w:val="center"/>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序号</w:t>
            </w:r>
            <w:r>
              <w:rPr>
                <w:rFonts w:ascii="宋体" w:hAnsi="宋体" w:cs="宋体"/>
              </w:rPr>
            </w:r>
            <w:r/>
          </w:p>
        </w:tc>
        <w:tc>
          <w:tcPr>
            <w:tcW w:w="4260" w:type="dxa"/>
            <w:vAlign w:val="center"/>
            <w:textDirection w:val="lrTb"/>
            <w:noWrap w:val="false"/>
          </w:tcPr>
          <w:p>
            <w:pPr>
              <w:pStyle w:val="859"/>
              <w:ind w:left="-72" w:right="-24"/>
              <w:jc w:val="center"/>
              <w:spacing w:line="440" w:lineRule="exact"/>
              <w:tabs>
                <w:tab w:val="left" w:pos="341"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分项内容</w:t>
            </w:r>
            <w:r>
              <w:rPr>
                <w:rFonts w:ascii="宋体" w:hAnsi="宋体" w:cs="宋体"/>
              </w:rPr>
            </w:r>
            <w:r/>
          </w:p>
        </w:tc>
        <w:tc>
          <w:tcPr>
            <w:tcW w:w="4010" w:type="dxa"/>
            <w:vAlign w:val="center"/>
            <w:textDirection w:val="lrTb"/>
            <w:noWrap w:val="false"/>
          </w:tcPr>
          <w:p>
            <w:pPr>
              <w:pStyle w:val="859"/>
              <w:ind w:left="-146" w:right="-120"/>
              <w:jc w:val="center"/>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预算金额</w:t>
            </w:r>
            <w:r>
              <w:rPr>
                <w:rFonts w:ascii="宋体" w:hAnsi="宋体" w:cs="宋体"/>
              </w:rPr>
            </w:r>
            <w:r/>
          </w:p>
        </w:tc>
        <w:tc>
          <w:tcPr>
            <w:tcW w:w="972" w:type="dxa"/>
            <w:vAlign w:val="center"/>
            <w:textDirection w:val="lrTb"/>
            <w:noWrap w:val="false"/>
          </w:tcPr>
          <w:p>
            <w:pPr>
              <w:pStyle w:val="859"/>
              <w:ind w:left="-146" w:right="-120"/>
              <w:jc w:val="center"/>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备注</w:t>
            </w:r>
            <w:r>
              <w:rPr>
                <w:rFonts w:ascii="宋体" w:hAnsi="宋体" w:cs="宋体"/>
              </w:rPr>
            </w:r>
            <w:r/>
          </w:p>
        </w:tc>
      </w:tr>
      <w:tr>
        <w:trPr>
          <w:trHeight w:val="454"/>
        </w:trPr>
        <w:tc>
          <w:tcPr>
            <w:tcW w:w="876"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w:t>
            </w:r>
            <w:r>
              <w:rPr>
                <w:rFonts w:ascii="宋体" w:hAnsi="宋体" w:cs="宋体"/>
              </w:rPr>
            </w:r>
            <w:r/>
          </w:p>
        </w:tc>
        <w:tc>
          <w:tcPr>
            <w:tcW w:w="4260" w:type="dxa"/>
            <w:vAlign w:val="center"/>
            <w:textDirection w:val="lrTb"/>
            <w:noWrap w:val="false"/>
          </w:tcPr>
          <w:p>
            <w:pPr>
              <w:pStyle w:val="859"/>
              <w:ind w:right="-24"/>
              <w:jc w:val="center"/>
              <w:spacing w:line="440" w:lineRule="exact"/>
              <w:tabs>
                <w:tab w:val="left" w:pos="341"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230省道吴江收费站财政电子票据改革收费系统改造项目</w:t>
            </w:r>
            <w:r>
              <w:rPr>
                <w:rFonts w:ascii="宋体" w:hAnsi="宋体" w:cs="宋体"/>
              </w:rPr>
            </w:r>
            <w:r/>
          </w:p>
        </w:tc>
        <w:tc>
          <w:tcPr>
            <w:tcW w:w="4010" w:type="dxa"/>
            <w:vAlign w:val="center"/>
            <w:textDirection w:val="lrTb"/>
            <w:noWrap w:val="false"/>
          </w:tcPr>
          <w:p>
            <w:pPr>
              <w:pStyle w:val="859"/>
              <w:ind w:right="-24"/>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人民币柒拾</w:t>
            </w:r>
            <w:r>
              <w:rPr>
                <w:rFonts w:hint="eastAsia" w:ascii="宋体" w:hAnsi="宋体" w:eastAsia="宋体" w:cs="宋体"/>
                <w:color w:val="000000"/>
                <w:sz w:val="21"/>
                <w:szCs w:val="21"/>
                <w:lang w:val="en-US" w:eastAsia="zh-CN"/>
              </w:rPr>
              <w:t xml:space="preserve">万</w:t>
            </w:r>
            <w:r>
              <w:rPr>
                <w:rFonts w:hint="eastAsia" w:ascii="宋体" w:hAnsi="宋体" w:eastAsia="宋体" w:cs="宋体"/>
                <w:color w:val="000000"/>
                <w:sz w:val="21"/>
                <w:szCs w:val="21"/>
              </w:rPr>
              <w:t xml:space="preserve">元整（¥700000.00）</w:t>
            </w:r>
            <w:r>
              <w:rPr>
                <w:rFonts w:ascii="宋体" w:hAnsi="宋体" w:cs="宋体"/>
              </w:rPr>
            </w:r>
            <w:r/>
          </w:p>
        </w:tc>
        <w:tc>
          <w:tcPr>
            <w:tcW w:w="972" w:type="dxa"/>
            <w:vAlign w:val="center"/>
            <w:textDirection w:val="lrTb"/>
            <w:noWrap w:val="false"/>
          </w:tcPr>
          <w:p>
            <w:pPr>
              <w:pStyle w:val="859"/>
              <w:ind w:right="-24"/>
              <w:jc w:val="center"/>
              <w:spacing w:line="440" w:lineRule="exact"/>
              <w:tabs>
                <w:tab w:val="left" w:pos="341" w:leader="none"/>
              </w:tabs>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rHeight w:val="454"/>
        </w:trPr>
        <w:tc>
          <w:tcPr>
            <w:tcW w:w="876" w:type="dxa"/>
            <w:vAlign w:val="center"/>
            <w:textDirection w:val="lrTb"/>
            <w:noWrap w:val="false"/>
          </w:tcPr>
          <w:p>
            <w:pPr>
              <w:pStyle w:val="859"/>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w:t>
            </w:r>
            <w:r>
              <w:rPr>
                <w:rFonts w:ascii="宋体" w:hAnsi="宋体" w:cs="宋体"/>
              </w:rPr>
            </w:r>
            <w:r/>
          </w:p>
        </w:tc>
        <w:tc>
          <w:tcPr>
            <w:tcW w:w="4260" w:type="dxa"/>
            <w:vAlign w:val="center"/>
            <w:textDirection w:val="lrTb"/>
            <w:noWrap w:val="false"/>
          </w:tcPr>
          <w:p>
            <w:pPr>
              <w:pStyle w:val="859"/>
              <w:ind w:right="-24"/>
              <w:jc w:val="center"/>
              <w:spacing w:line="440" w:lineRule="exact"/>
              <w:tabs>
                <w:tab w:val="left" w:pos="341"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258省道桃源收费站财政电子票据改革收费系统改造项目</w:t>
            </w:r>
            <w:r>
              <w:rPr>
                <w:rFonts w:ascii="宋体" w:hAnsi="宋体" w:cs="宋体"/>
              </w:rPr>
            </w:r>
            <w:r/>
          </w:p>
        </w:tc>
        <w:tc>
          <w:tcPr>
            <w:tcW w:w="4010" w:type="dxa"/>
            <w:vAlign w:val="center"/>
            <w:textDirection w:val="lrTb"/>
            <w:noWrap w:val="false"/>
          </w:tcPr>
          <w:p>
            <w:pPr>
              <w:pStyle w:val="859"/>
              <w:ind w:right="-24"/>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人民币壹佰零壹万元整（¥1010000.00）</w:t>
            </w:r>
            <w:r>
              <w:rPr>
                <w:rFonts w:ascii="宋体" w:hAnsi="宋体" w:cs="宋体"/>
              </w:rPr>
            </w:r>
            <w:r/>
          </w:p>
        </w:tc>
        <w:tc>
          <w:tcPr>
            <w:tcW w:w="972" w:type="dxa"/>
            <w:vAlign w:val="center"/>
            <w:textDirection w:val="lrTb"/>
            <w:noWrap w:val="false"/>
          </w:tcPr>
          <w:p>
            <w:pPr>
              <w:pStyle w:val="859"/>
              <w:ind w:right="-24"/>
              <w:jc w:val="center"/>
              <w:spacing w:line="440" w:lineRule="exact"/>
              <w:tabs>
                <w:tab w:val="left" w:pos="341" w:leader="none"/>
              </w:tabs>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bl>
    <w:p>
      <w:pPr>
        <w:pStyle w:val="859"/>
        <w:numPr>
          <w:ilvl w:val="0"/>
          <w:numId w:val="6"/>
        </w:numPr>
        <w:spacing w:line="440" w:lineRule="exact"/>
        <w:tabs>
          <w:tab w:val="left" w:pos="360" w:leader="none"/>
          <w:tab w:val="left" w:pos="540" w:leader="none"/>
          <w:tab w:val="left" w:pos="7102"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招标内容及要求：</w:t>
      </w:r>
      <w:r>
        <w:rPr>
          <w:rFonts w:hint="eastAsia" w:ascii="宋体" w:hAnsi="宋体" w:cs="宋体"/>
          <w:b/>
          <w:color w:val="000000"/>
          <w:sz w:val="21"/>
          <w:szCs w:val="21"/>
        </w:rPr>
        <w:tab/>
      </w:r>
      <w:r>
        <w:rPr>
          <w:rFonts w:ascii="宋体" w:hAnsi="宋体" w:cs="宋体"/>
        </w:rPr>
      </w:r>
      <w:r/>
    </w:p>
    <w:p>
      <w:pPr>
        <w:pStyle w:val="916"/>
        <w:ind w:firstLine="422"/>
        <w:spacing w:line="440" w:lineRule="exact"/>
        <w:rPr>
          <w:rFonts w:ascii="宋体" w:hAnsi="宋体" w:cs="宋体"/>
          <w:b/>
          <w:bCs/>
          <w:color w:val="000000"/>
          <w:sz w:val="21"/>
          <w:szCs w:val="21"/>
        </w:rPr>
      </w:pPr>
      <w:r>
        <w:rPr>
          <w:rFonts w:ascii="宋体" w:hAnsi="宋体" w:eastAsia="宋体" w:cs="宋体"/>
          <w:b/>
          <w:bCs/>
          <w:color w:val="000000"/>
          <w:sz w:val="21"/>
          <w:szCs w:val="21"/>
        </w:rPr>
        <w:t xml:space="preserve">（一）项目背景</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为进一步提升江苏省公路通行效率和服务水平，强化公路通行费票据管理，破解社会公众因纸质票据丢失、损毁带来的报销难题，减少纸张消耗对生态环境的破坏等。江苏省公路通行费票据电子化改造工作，被省交通运输厅列为“2023 年为民服务办实事项目”之一。</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江苏省财政厅在2019年发文《关于做好省级全面启用财政机打票据和推进财政电子票据管理改革实施工作的通知》（苏财综〔2019〕17号），要求省级执收单位全面实现开具非税收入电子票据改革。2023年3月13日，省交通厅、财政厅、省税务局联合签发了《关于实施江苏省高速公路通行费票据电子化工作的通知》。截止目前，江苏省高速公路已全面实施电子票据，普通公路收费站也必然逐步实现财政电子票据改革。</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2025年3月31日江苏省财政厅下发《关于全面推进财政电子票据改革的通知》（苏财综〔2025〕9号文），要求各地方用票单位加快推进财政电子票据改革，全面实现财政票据电子化。包括做好归并统一财政票据、全面停用纸质票据、规范核销纸质票据。</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随着ETC、自由流等新型智慧交通的逐步建设，现场打印票据的收费方式已经阻碍了收费系统科技化，信息化的发展，迫切需要进行改造升级，全面解放人工，将前端的人工为主的方式改为前端自助缴费，后台稽核查证的新型收费管理体制。</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为贯彻落实税收征管改革，响应《交通强国建设纲要》精神，进一步完善收费公路通行费增值税发票开具，本次将对通行费发票进行“纸改电”，提升收费公路通行效率和服务水平，缓解收费站拥堵问题，坚定“创新、协调、绿色、开放、共享”新发展理念，推动交通运输绿色低碳转型。</w:t>
      </w:r>
      <w:r>
        <w:rPr>
          <w:rFonts w:ascii="宋体" w:hAnsi="宋体" w:cs="宋体"/>
        </w:rPr>
      </w:r>
      <w:r/>
    </w:p>
    <w:p>
      <w:pPr>
        <w:pStyle w:val="916"/>
        <w:ind w:firstLine="422"/>
        <w:spacing w:line="440" w:lineRule="exact"/>
        <w:rPr>
          <w:rFonts w:ascii="宋体" w:hAnsi="宋体" w:cs="宋体"/>
          <w:b/>
          <w:bCs/>
          <w:color w:val="000000"/>
          <w:sz w:val="21"/>
          <w:szCs w:val="21"/>
        </w:rPr>
      </w:pPr>
      <w:r>
        <w:rPr>
          <w:rFonts w:ascii="宋体" w:hAnsi="宋体" w:eastAsia="宋体" w:cs="宋体"/>
          <w:b/>
          <w:bCs/>
          <w:color w:val="000000"/>
          <w:sz w:val="21"/>
          <w:szCs w:val="21"/>
          <w:lang w:eastAsia="zh-CN"/>
        </w:rPr>
        <w:t xml:space="preserve">（二）</w:t>
      </w:r>
      <w:r>
        <w:rPr>
          <w:rFonts w:ascii="宋体" w:hAnsi="宋体" w:eastAsia="宋体" w:cs="宋体"/>
          <w:b/>
          <w:bCs/>
          <w:color w:val="000000"/>
          <w:sz w:val="21"/>
          <w:szCs w:val="21"/>
        </w:rPr>
        <w:t xml:space="preserve">项目概况</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吴江区所辖普通公路收费站有2处为230省道吴江收费站和258省道桃源收费站，属行政事业性收费。目前该两站点收费系统以E/MTC的现金和电子非现金支付为主，形成“通过站方结算现金收费额和通过省公路事业发展中心统一结算平台结算非现金收费额”的财务管理模式，电子非现金收费以银行离线POS机为主，票据为财政部门统一印发的普通纸质票。本项目旨在响应省级部门“纸改电”政策要求，结合移动支付系统改造，使得普通公路收费站实现财政电子票据改革目标。</w:t>
      </w:r>
      <w:r>
        <w:rPr>
          <w:rFonts w:ascii="宋体" w:hAnsi="宋体" w:cs="宋体"/>
        </w:rPr>
      </w:r>
      <w:r/>
    </w:p>
    <w:p>
      <w:pPr>
        <w:pStyle w:val="916"/>
        <w:ind w:firstLine="422"/>
        <w:spacing w:line="440" w:lineRule="exact"/>
        <w:rPr>
          <w:rFonts w:ascii="宋体" w:hAnsi="宋体" w:cs="宋体"/>
          <w:b/>
          <w:bCs/>
          <w:color w:val="000000"/>
          <w:sz w:val="21"/>
          <w:szCs w:val="21"/>
        </w:rPr>
      </w:pPr>
      <w:r>
        <w:rPr>
          <w:rFonts w:ascii="宋体" w:hAnsi="宋体" w:eastAsia="宋体" w:cs="宋体"/>
          <w:b/>
          <w:bCs/>
          <w:color w:val="000000"/>
          <w:sz w:val="21"/>
          <w:szCs w:val="21"/>
          <w:lang w:eastAsia="zh-CN"/>
        </w:rPr>
        <w:t xml:space="preserve">（三）</w:t>
      </w:r>
      <w:r>
        <w:rPr>
          <w:rFonts w:ascii="宋体" w:hAnsi="宋体" w:eastAsia="宋体" w:cs="宋体"/>
          <w:b/>
          <w:bCs/>
          <w:color w:val="000000"/>
          <w:sz w:val="21"/>
          <w:szCs w:val="21"/>
        </w:rPr>
        <w:t xml:space="preserve">项目依据</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1.交通部路网中心2022年7月发布《高速公路联网收费系统优化升级工程方案》；</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2.《关于做好省级全面启用财政机打票据和推进财政电子票据管理改革实施工作的通知》（苏财综〔2019〕17号）；</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3.省交通厅、财政厅、省税务局联合签发的《关于实施江苏省高速公路通行费票据电子化工作的通知》（苏交财〔2023〕14号）；</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4.江苏省联网收费高速公路通行费电子票据管理细则（试行）；</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5.省财政厅签发《关于全面推进财政电子票据改革的通知》（苏财综〔2025〕9号）。</w:t>
      </w:r>
      <w:r>
        <w:rPr>
          <w:rFonts w:ascii="宋体" w:hAnsi="宋体" w:cs="宋体"/>
        </w:rPr>
      </w:r>
      <w:r/>
    </w:p>
    <w:p>
      <w:pPr>
        <w:pStyle w:val="916"/>
        <w:ind w:firstLine="422"/>
        <w:spacing w:line="440" w:lineRule="exact"/>
        <w:rPr>
          <w:rFonts w:ascii="宋体" w:hAnsi="宋体" w:cs="宋体"/>
          <w:b/>
          <w:bCs/>
          <w:color w:val="000000"/>
          <w:sz w:val="21"/>
          <w:szCs w:val="21"/>
        </w:rPr>
      </w:pPr>
      <w:r>
        <w:rPr>
          <w:rFonts w:ascii="宋体" w:hAnsi="宋体" w:eastAsia="宋体" w:cs="宋体"/>
          <w:b/>
          <w:bCs/>
          <w:color w:val="000000"/>
          <w:sz w:val="21"/>
          <w:szCs w:val="21"/>
          <w:lang w:eastAsia="zh-CN"/>
        </w:rPr>
        <w:t xml:space="preserve">（四）</w:t>
      </w:r>
      <w:r>
        <w:rPr>
          <w:rFonts w:ascii="宋体" w:hAnsi="宋体" w:eastAsia="宋体" w:cs="宋体"/>
          <w:b/>
          <w:bCs/>
          <w:color w:val="000000"/>
          <w:sz w:val="21"/>
          <w:szCs w:val="21"/>
          <w:lang w:val="en-US" w:eastAsia="zh-CN"/>
        </w:rPr>
        <w:t xml:space="preserve">服务配套资源清单</w:t>
      </w:r>
      <w:r>
        <w:rPr>
          <w:rFonts w:ascii="宋体" w:hAnsi="宋体" w:eastAsia="宋体" w:cs="宋体"/>
          <w:b/>
          <w:bCs/>
          <w:color w:val="000000"/>
          <w:sz w:val="21"/>
          <w:szCs w:val="21"/>
          <w:lang w:eastAsia="zh-CN"/>
        </w:rPr>
        <w:t xml:space="preserve">及要求</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906"/>
        <w:gridCol w:w="6000"/>
        <w:gridCol w:w="749"/>
        <w:gridCol w:w="749"/>
      </w:tblGrid>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序号</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配套资源名称</w:t>
            </w:r>
            <w:r>
              <w:rPr>
                <w:rFonts w:ascii="宋体" w:hAnsi="宋体" w:cs="宋体"/>
              </w:rPr>
            </w:r>
            <w:r/>
          </w:p>
        </w:tc>
        <w:tc>
          <w:tcPr>
            <w:tcW w:w="6000" w:type="dxa"/>
            <w:vAlign w:val="center"/>
            <w:textDirection w:val="lrTb"/>
            <w:noWrap w:val="false"/>
          </w:tcPr>
          <w:p>
            <w:pPr>
              <w:pStyle w:val="859"/>
              <w:jc w:val="center"/>
              <w:spacing w:line="440" w:lineRule="exact"/>
              <w:widowControl/>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性能及功能需求</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单位</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数量</w:t>
            </w:r>
            <w:r>
              <w:rPr>
                <w:rFonts w:ascii="宋体" w:hAnsi="宋体" w:cs="宋体"/>
              </w:rPr>
            </w:r>
            <w:r/>
          </w:p>
        </w:tc>
      </w:tr>
      <w:tr>
        <w:trPr>
          <w:trHeight w:val="454"/>
        </w:trPr>
        <w:tc>
          <w:tcPr>
            <w:gridSpan w:val="5"/>
            <w:tcW w:w="10118" w:type="dxa"/>
            <w:vAlign w:val="center"/>
            <w:textDirection w:val="lrTb"/>
            <w:noWrap w:val="false"/>
          </w:tcPr>
          <w:p>
            <w:pPr>
              <w:pStyle w:val="859"/>
              <w:jc w:val="center"/>
              <w:spacing w:line="440" w:lineRule="exact"/>
              <w:widowControl/>
              <w:tabs>
                <w:tab w:val="left" w:pos="6329"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230省道吴江收费站财政电子票据改革系统改造项目</w:t>
            </w:r>
            <w:r>
              <w:rPr>
                <w:rFonts w:ascii="宋体" w:hAnsi="宋体" w:cs="宋体"/>
              </w:rPr>
            </w:r>
            <w:r/>
          </w:p>
        </w:tc>
      </w:tr>
      <w:tr>
        <w:trPr>
          <w:trHeight w:val="454"/>
        </w:trPr>
        <w:tc>
          <w:tcPr>
            <w:gridSpan w:val="5"/>
            <w:tcW w:w="10118" w:type="dxa"/>
            <w:vAlign w:val="center"/>
            <w:textDirection w:val="lrTb"/>
            <w:noWrap w:val="false"/>
          </w:tcPr>
          <w:p>
            <w:pPr>
              <w:pStyle w:val="859"/>
              <w:jc w:val="center"/>
              <w:spacing w:line="440" w:lineRule="exact"/>
              <w:widowControl/>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一、移动支付</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车道扫码设备（子母机）</w:t>
            </w:r>
            <w:r>
              <w:rPr>
                <w:rFonts w:ascii="宋体" w:hAnsi="宋体" w:cs="宋体"/>
              </w:rPr>
            </w:r>
            <w:r/>
          </w:p>
        </w:tc>
        <w:tc>
          <w:tcPr>
            <w:tcW w:w="6000" w:type="dxa"/>
            <w:vAlign w:val="center"/>
            <w:textDirection w:val="lrTb"/>
            <w:noWrap w:val="false"/>
          </w:tcPr>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通讯接口：10M/100M自适应网口×2；RS232接口×1；</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显示屏：LED显示屏阳光下可见，分辨率：64*64，色彩：全彩；</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扫码识读引擎：双色提示灯，红色正在识读，绿色识读成功；</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屏幕码识读距离：参考0.3～1.2m（与码大小相关）；</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纸质码识读距离：参考0.3m～0.8m（与环境光线和码大小相关）；</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扬声器：4欧3～5W；</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电源：24V±4VDC；</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收费方式：支持微信/支付宝等移动支付方式；</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使用温度：-10℃～+55℃；</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存储温度：-20℃～+75℃；</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工作湿度：≤90%（无冷凝）。</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套</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24口三层交换机</w:t>
            </w:r>
            <w:r>
              <w:rPr>
                <w:rFonts w:ascii="宋体" w:hAnsi="宋体" w:cs="宋体"/>
              </w:rPr>
            </w:r>
            <w:r/>
          </w:p>
        </w:tc>
        <w:tc>
          <w:tcPr>
            <w:tcW w:w="6000" w:type="dxa"/>
            <w:vAlign w:val="center"/>
            <w:textDirection w:val="lrTb"/>
            <w:noWrap w:val="false"/>
          </w:tcPr>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包转发率：222Mpps/396Mpps；</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交换机容量：756Gbps/7.56Tbps；</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端口：24个10/100/1000Base-T自适应以太网端口（含8个100/1000BASE-XcomboSFP口），4个1/10GESFP+口</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VXLAN：支持VXLAN二层交换；支持VXLAN路由交换；</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支持VXLAN集中式网关、分布式Anycast网关；支持BGPEVPN；</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支持OpenFlow+Netconf的VxLAN集中式控制平面、自动化部署；</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端口聚合：支持GE端口聚合；支持10GE端口聚合；支持40G聚合；支持静态聚合；</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支持动态聚合；支持跨设备链路聚合M-LAG。</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MAC地址表：支持静态、动态、黑洞MAC地址；支持源MAC地址过滤；</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支持设置端口MAC地址学习最大个数</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VLAN：支持802.1QVLAN；支持4KVLAN；支持基于端口的VLAN；</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支持QinQ、灵活QinQ；支持GuestVLAN；支持STP、RSTP、MSTP、PVST</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端口特性：支持IEEE802.3x流量控制（全双工）；支持基于端口速率百分比的风暴抑制；</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支持基于PPS的风暴抑制；支持基于bps的风暴抑制</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IP路由：支持IPv4/IPv6静态路由；支持IPv4/IPv6双栈；支持RIPv1/v2，RIPng；</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支持OSPFv1/v2，OSPFv3；支持BGP4，BGP4+forIPv6；支持IS-IS，IS-ISV6；</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支持等价路由，策略路由；支持VRRP/VRRPv3；</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MPLS：支持MPLS；支持MCE；支持MPLSVPN、VPLS、VLL；支持MPLSTE*；</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工作环境温度：-5℃～45℃</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工作环境相对湿度（非凝露）：5%～95%</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套</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3</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24口汇聚交换机</w:t>
            </w:r>
            <w:r>
              <w:rPr>
                <w:rFonts w:ascii="宋体" w:hAnsi="宋体" w:cs="宋体"/>
              </w:rPr>
            </w:r>
            <w:r/>
          </w:p>
        </w:tc>
        <w:tc>
          <w:tcPr>
            <w:tcW w:w="6000" w:type="dxa"/>
            <w:vAlign w:val="center"/>
            <w:textDirection w:val="lrTb"/>
            <w:noWrap w:val="false"/>
          </w:tcPr>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交换容量：336Gbps/3.36Tbps</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包转发率：126Mpps</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端口：24个10/100/1000Base-T自适应以太网端口，4个1000BASE-XSFP端口；</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链路聚合：支持GE端口聚合；支持10GE端口聚合；支持静态聚合；</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支持动态聚合；支持跨设备聚合；</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流量控制：支持802.3x流控及半双工背压流控；</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MAC地址表：支持静态、动态、黑洞MAC地址；支持源MAC地址过滤；</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支持设置端口MAC地址学习最大个数</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VLAN：支持802.1QVLAN；支持4KVLAN；支持基于端口的VLAN；</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支持QinQ、灵活QinQ；支持GuestVLAN；支持STP、RSTP、MSTP、PVST；</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ARP：支持免费ARP；支持动态ARP检测（DAI）；支持ARP限速；</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广播/组播/单播风暴抑制：支持基于端口速率百分比的风暴抑制；</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支持基于PPS的风暴抑制；支持基于bps的风暴抑制；</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802.1X：支持802.1X认证；支持基于端口的认证和基于MAC的认证；</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支持GuestVLAN；支持TRUNK端口认证；</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支持基于802.1x动态下发QoS/ACL/VLAN</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工作环境温度：-5℃～45℃；</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套</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4</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扫码设备安装组网</w:t>
            </w:r>
            <w:r>
              <w:rPr>
                <w:rFonts w:ascii="宋体" w:hAnsi="宋体" w:cs="宋体"/>
              </w:rPr>
            </w:r>
            <w:r/>
          </w:p>
        </w:tc>
        <w:tc>
          <w:tcPr>
            <w:tcW w:w="6000" w:type="dxa"/>
            <w:vAlign w:val="center"/>
            <w:textDirection w:val="lrTb"/>
            <w:noWrap w:val="false"/>
          </w:tcPr>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车道至站区移动支付网络单独布线安装组网</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2181"/>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移动支付车道单元</w:t>
            </w:r>
            <w:r>
              <w:rPr>
                <w:rFonts w:ascii="宋体" w:hAnsi="宋体" w:cs="宋体"/>
              </w:rPr>
            </w:r>
            <w:r/>
          </w:p>
        </w:tc>
        <w:tc>
          <w:tcPr>
            <w:tcW w:w="6000" w:type="dxa"/>
            <w:vAlign w:val="center"/>
            <w:textDirection w:val="lrTb"/>
            <w:noWrap w:val="false"/>
          </w:tcPr>
          <w:p>
            <w:pPr>
              <w:pStyle w:val="859"/>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含车道收费模块及月票售卖模块改造功能如下：</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（1）去除原有的离线POS移动支付相关操作模块；</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（2）新增控制新扫码设备进行移动支付的相关操作模块；</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（3）新增移动支付相关数据生产、存储、上传、标记等相关功能。</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6</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月票及备用扫码设备（子母机）</w:t>
            </w:r>
            <w:r>
              <w:rPr>
                <w:rFonts w:ascii="宋体" w:hAnsi="宋体" w:cs="宋体"/>
              </w:rPr>
            </w:r>
            <w:r/>
          </w:p>
        </w:tc>
        <w:tc>
          <w:tcPr>
            <w:tcW w:w="6000" w:type="dxa"/>
            <w:vAlign w:val="center"/>
            <w:textDirection w:val="lrTb"/>
            <w:noWrap w:val="false"/>
          </w:tcPr>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参数指标同车道设备扫码设备</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套</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移动支付站端单元</w:t>
            </w:r>
            <w:r>
              <w:rPr>
                <w:rFonts w:ascii="宋体" w:hAnsi="宋体" w:cs="宋体"/>
              </w:rPr>
            </w:r>
            <w:r/>
          </w:p>
        </w:tc>
        <w:tc>
          <w:tcPr>
            <w:tcW w:w="6000" w:type="dxa"/>
            <w:vAlign w:val="center"/>
            <w:textDirection w:val="lrTb"/>
            <w:noWrap w:val="false"/>
          </w:tcPr>
          <w:p>
            <w:pPr>
              <w:pStyle w:val="859"/>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（1）数据库表相关升级，增加移动支付相关业务数据字段；</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（2）收费业务架构调整，将移动支付数据管理方式从现金管理中剥离，并按非现金模式增加相关管理架构；</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（3）财务管理模块调整，主要实现三个目标：一是能实现移动支付数据查询对账管理，二是能在收费系统中对投诉或其他原因产生争议的移动支付数据进行稽核，三是能根据稽核结果实现退费功能。</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8</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站级软件安装调及培训</w:t>
            </w:r>
            <w:r>
              <w:rPr>
                <w:rFonts w:ascii="宋体" w:hAnsi="宋体" w:cs="宋体"/>
              </w:rPr>
            </w:r>
            <w:r/>
          </w:p>
        </w:tc>
        <w:tc>
          <w:tcPr>
            <w:tcW w:w="6000" w:type="dxa"/>
            <w:vAlign w:val="center"/>
            <w:textDirection w:val="lrTb"/>
            <w:noWrap w:val="false"/>
          </w:tcPr>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含SDWAN分配调试，账户注册、数据结算测试、对账退费等管理功能验证，系统开通，人员培训等相关事宜。</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9</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FTP对账交互服务器</w:t>
            </w:r>
            <w:r>
              <w:rPr>
                <w:rFonts w:ascii="宋体" w:hAnsi="宋体" w:cs="宋体"/>
              </w:rPr>
            </w:r>
            <w:r/>
          </w:p>
        </w:tc>
        <w:tc>
          <w:tcPr>
            <w:tcW w:w="6000" w:type="dxa"/>
            <w:vAlign w:val="center"/>
            <w:textDirection w:val="lrTb"/>
            <w:noWrap w:val="false"/>
          </w:tcPr>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1U 机架式服务器；</w:t>
            </w:r>
            <w:r>
              <w:rPr>
                <w:rFonts w:ascii="宋体" w:hAnsi="宋体" w:cs="宋体"/>
              </w:rPr>
            </w:r>
            <w:r/>
          </w:p>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CPU：国产自主可控x86芯片，核心数：≥8核；</w:t>
            </w:r>
            <w:r>
              <w:rPr>
                <w:rFonts w:ascii="宋体" w:hAnsi="宋体" w:cs="宋体"/>
              </w:rPr>
            </w:r>
            <w:r/>
          </w:p>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内存：配置8GB DDR4 提供≥4个DIMM插槽，支持最大容量≥64GB，支持ECC错误校验；</w:t>
            </w:r>
            <w:r>
              <w:rPr>
                <w:rFonts w:ascii="宋体" w:hAnsi="宋体" w:cs="宋体"/>
              </w:rPr>
            </w:r>
            <w:r/>
          </w:p>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硬盘：2块 1TB 3.5英寸/2.5英寸 SATA或SAS硬盘，提供≥4个硬盘盘位，支持热拔插；</w:t>
            </w:r>
            <w:r>
              <w:rPr>
                <w:rFonts w:ascii="宋体" w:hAnsi="宋体" w:cs="宋体"/>
              </w:rPr>
            </w:r>
            <w:r/>
          </w:p>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网络：100/1000Mbps 自适应以太网电口*2；</w:t>
            </w:r>
            <w:r>
              <w:rPr>
                <w:rFonts w:ascii="宋体" w:hAnsi="宋体" w:cs="宋体"/>
              </w:rPr>
            </w:r>
            <w:r/>
          </w:p>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电源：450W 电源*1；</w:t>
            </w:r>
            <w:r>
              <w:rPr>
                <w:rFonts w:ascii="宋体" w:hAnsi="宋体" w:cs="宋体"/>
              </w:rPr>
            </w:r>
            <w:r/>
          </w:p>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操作系统：支持国产服务器版操作系统。</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套</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10</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外网结算数据查询管理终端</w:t>
            </w:r>
            <w:r>
              <w:rPr>
                <w:rFonts w:ascii="宋体" w:hAnsi="宋体" w:cs="宋体"/>
              </w:rPr>
            </w:r>
            <w:r/>
          </w:p>
        </w:tc>
        <w:tc>
          <w:tcPr>
            <w:tcW w:w="6000" w:type="dxa"/>
            <w:vAlign w:val="center"/>
            <w:textDirection w:val="lrTb"/>
            <w:noWrap w:val="false"/>
          </w:tcPr>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CPU：国产自主可控芯片，核心数：≥ 8核；</w:t>
            </w:r>
            <w:r>
              <w:rPr>
                <w:rFonts w:ascii="宋体" w:hAnsi="宋体" w:cs="宋体"/>
              </w:rPr>
            </w:r>
            <w:r/>
          </w:p>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内存：配置8GB DDR4，提供2个UDIMM插槽，最大支持32GB内存；</w:t>
            </w:r>
            <w:r>
              <w:rPr>
                <w:rFonts w:ascii="宋体" w:hAnsi="宋体" w:cs="宋体"/>
              </w:rPr>
            </w:r>
            <w:r/>
          </w:p>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硬盘：SSD固态硬盘256G SSD+1T 机械磁盘；</w:t>
            </w:r>
            <w:r>
              <w:rPr>
                <w:rFonts w:ascii="宋体" w:hAnsi="宋体" w:cs="宋体"/>
              </w:rPr>
            </w:r>
            <w:r/>
          </w:p>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鼠标：USB 光电鼠标，键盘：标准键盘；</w:t>
            </w:r>
            <w:r>
              <w:rPr>
                <w:rFonts w:ascii="宋体" w:hAnsi="宋体" w:cs="宋体"/>
              </w:rPr>
            </w:r>
            <w:r/>
          </w:p>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网卡：100/1000Mbps 自适应以太网电口*1；</w:t>
            </w:r>
            <w:r>
              <w:rPr>
                <w:rFonts w:ascii="宋体" w:hAnsi="宋体" w:cs="宋体"/>
              </w:rPr>
            </w:r>
            <w:r/>
          </w:p>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显示器：23.8英寸液晶显示器。</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套</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11</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其他辅材</w:t>
            </w:r>
            <w:r>
              <w:rPr>
                <w:rFonts w:ascii="宋体" w:hAnsi="宋体" w:cs="宋体"/>
              </w:rPr>
            </w:r>
            <w:r/>
          </w:p>
        </w:tc>
        <w:tc>
          <w:tcPr>
            <w:tcW w:w="6000" w:type="dxa"/>
            <w:vAlign w:val="center"/>
            <w:textDirection w:val="lrTb"/>
            <w:noWrap w:val="false"/>
          </w:tcPr>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含数据线、网络接头、跳线、传输模块、光缆熔接等辅材</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gridSpan w:val="5"/>
            <w:tcW w:w="10118"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b/>
                <w:bCs/>
                <w:color w:val="000000"/>
                <w:sz w:val="21"/>
                <w:szCs w:val="21"/>
              </w:rPr>
              <w:t xml:space="preserve">二、纸改电</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纸改电车道单元</w:t>
            </w:r>
            <w:r>
              <w:rPr>
                <w:rFonts w:ascii="宋体" w:hAnsi="宋体" w:cs="宋体"/>
              </w:rPr>
            </w:r>
            <w:r/>
          </w:p>
        </w:tc>
        <w:tc>
          <w:tcPr>
            <w:tcW w:w="6000" w:type="dxa"/>
            <w:vAlign w:val="center"/>
            <w:textDirection w:val="lrTb"/>
            <w:noWrap w:val="false"/>
          </w:tcPr>
          <w:p>
            <w:pPr>
              <w:pStyle w:val="859"/>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含车道收费模块及月票售卖模块改造功能如下：</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（1）去除原有的车道票据打印相关功能；</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（2）新增车牌二次识别、现金及移动支付时车牌确认、修正等相关功能；</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（3）按纸改电相关技术规范进行数据生产、存储、上传、标记等相关功能。</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纸改电站端单元</w:t>
            </w:r>
            <w:r>
              <w:rPr>
                <w:rFonts w:ascii="宋体" w:hAnsi="宋体" w:cs="宋体"/>
              </w:rPr>
            </w:r>
            <w:r/>
          </w:p>
        </w:tc>
        <w:tc>
          <w:tcPr>
            <w:tcW w:w="6000" w:type="dxa"/>
            <w:vAlign w:val="center"/>
            <w:textDirection w:val="lrTb"/>
            <w:noWrap w:val="false"/>
          </w:tcPr>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（1）剥离收费系统中所有的和票据管理相关的业务功能；</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（2）剥离月票系统中所有的和票据管理相关的业务功能；</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（3）剥离统一收据系统中所有的和票据管理相关的业务功能；</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（4）所有业务系统按纸改电相关技术规范进行数据生产、存储、上传、标记等相关功能。</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（5）重构所有数据类型分类及查询统计等相关业务模块；</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（6）重构各类报表、台账等；</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含省中心收费系统软件配套升级</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该系统分期完成：</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一期：部分收费站实施移动支付和纸改电改造后，进行兼容性改造，满足两种站点同时运行的数据填报；</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二期：全部实施移动支付和纸改电改造后，进行统一性改造，按新系统的特性进行数据填报。</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3</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站级软件安装调试及培训</w:t>
            </w:r>
            <w:r>
              <w:rPr>
                <w:rFonts w:ascii="宋体" w:hAnsi="宋体" w:cs="宋体"/>
              </w:rPr>
            </w:r>
            <w:r/>
          </w:p>
        </w:tc>
        <w:tc>
          <w:tcPr>
            <w:tcW w:w="6000" w:type="dxa"/>
            <w:vAlign w:val="center"/>
            <w:textDirection w:val="lrTb"/>
            <w:noWrap w:val="false"/>
          </w:tcPr>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账户注册、数据测试、开票验证、平台业务培训等</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4</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省联网中心纸改电票据管理服务平台软件接入</w:t>
            </w:r>
            <w:r>
              <w:rPr>
                <w:rFonts w:ascii="宋体" w:hAnsi="宋体" w:cs="宋体"/>
              </w:rPr>
            </w:r>
            <w:r/>
          </w:p>
        </w:tc>
        <w:tc>
          <w:tcPr>
            <w:tcW w:w="6000" w:type="dxa"/>
            <w:vAlign w:val="center"/>
            <w:textDirection w:val="lrTb"/>
            <w:noWrap w:val="false"/>
          </w:tcPr>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包含票据领销存服务/财政电子票据开票服务/站端开票数据服务/用户下载票据服务/平台账户权限服务等工作内容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gridSpan w:val="5"/>
            <w:tcW w:w="10118"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b/>
                <w:bCs/>
                <w:color w:val="000000"/>
                <w:sz w:val="21"/>
                <w:szCs w:val="21"/>
              </w:rPr>
              <w:t xml:space="preserve">三、其他</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外网接入网络连接（20M双运营商线路备份SDWAN，含规划）</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移动、电信、联通三选二，双运营商网络租用、光组网设备采购安装调试，SDWAN组网规划及移动支付平台数据运维服务（专用线路）</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年</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收费站站端系统运维服务</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站端移动支付及纸改电相关系统软硬件运维服务</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年</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3</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纸改电平台运维服务</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平台数据交互、网络联通、投诉问题协查等相关服务</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年</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gridSpan w:val="5"/>
            <w:tcW w:w="10118" w:type="dxa"/>
            <w:vAlign w:val="center"/>
            <w:textDirection w:val="lrTb"/>
            <w:noWrap w:val="false"/>
          </w:tcPr>
          <w:p>
            <w:pPr>
              <w:pStyle w:val="859"/>
              <w:jc w:val="center"/>
              <w:spacing w:line="440" w:lineRule="exact"/>
              <w:widowControl/>
              <w:tabs>
                <w:tab w:val="left" w:pos="6329"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258省道桃源收费站财政电子票据改革系统改造项目</w:t>
            </w:r>
            <w:r>
              <w:rPr>
                <w:rFonts w:ascii="宋体" w:hAnsi="宋体" w:cs="宋体"/>
              </w:rPr>
            </w:r>
            <w:r/>
          </w:p>
        </w:tc>
      </w:tr>
      <w:tr>
        <w:trPr>
          <w:trHeight w:val="454"/>
        </w:trPr>
        <w:tc>
          <w:tcPr>
            <w:gridSpan w:val="5"/>
            <w:tcW w:w="10118" w:type="dxa"/>
            <w:vAlign w:val="center"/>
            <w:textDirection w:val="lrTb"/>
            <w:noWrap w:val="false"/>
          </w:tcPr>
          <w:p>
            <w:pPr>
              <w:pStyle w:val="859"/>
              <w:jc w:val="center"/>
              <w:spacing w:line="440" w:lineRule="exact"/>
              <w:widowControl/>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一、移动支付相关</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车道扫码设备（子母机）</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通讯接口：10M/100M自适应网口×2；RS232接口×1；</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显示屏：LED显示屏阳光下可见，分辨率：64*64，色彩：全彩；</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扫码识读引擎：双色提示灯，红色正在识读，绿色识读成功；</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屏幕码识读距离：参考0.3～1.2m（与码大小相关）；</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纸质码识读距离：参考0.3m～0.8m（与环境光线和码大小相关）；</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扬声器：4欧3～5W；</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电源：24V±4VDC；</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收费方式：支持微信/支付宝等移动支付方式；</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使用温度：-10℃～+55℃；</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存储温度：-20℃～+75℃；</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工作湿度：≤90%（无冷凝）。</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套</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6</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24口三层交换机</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包转发率：222Mpps/396Mpps</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交换机容量：756Gbps/7.56Tbps</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端口：24个10/100/1000Base-T自适应以太网端口（含8个100/1000BASE-XcomboSFP口），4个1/10GESFP+口</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VXLAN：支持VXLAN二层交换；支持VXLAN路由交换；</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支持VXLAN集中式网关、分布式Anycast网关；支持BGPEVPN；</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支持OpenFlow+Netconf的VxLAN集中式控制平面、自动化部署；</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端口聚合：支持GE端口聚合；支持10GE端口聚合；支持40G聚合；支持静态聚合；</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支持动态聚合；支持跨设备链路聚合M-LAG。</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MAC地址表：支持静态、动态、黑洞MAC地址；支持源MAC地址过滤；</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支持设置端口MAC地址学习最大个数</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VLAN：支持802.1QVLAN；支持4KVLAN；支持基于端口的VLAN；</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支持QinQ、灵活QinQ；支持GuestVLAN；支持STP、RSTP、MSTP、PVST</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端口特性：支持IEEE802.3x流量控制（全双工）；支持基于端口速率百分比的风暴抑制；</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支持基于PPS的风暴抑制；支持基于bps的风暴抑制</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IP路由：支持IPv4/IPv6静态路由；支持IPv4/IPv6双栈；支持RIPv1/v2，RIPng；</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支持OSPFv1/v2，OSPFv3；支持BGP4，BGP4+forIPv6；支持IS-IS，IS-ISV6；</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支持等价路由，策略路由；支持VRRP/VRRPv3；</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MPLS：支持MPLS；支持MCE；支持MPLSVPN、VPLS、VLL；支持MPLSTE*；</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工作环境温度：-5℃～45℃</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工作环境相对湿度（非凝露）：5%～95%</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套</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3</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24口汇聚交换机</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交换容量：336Gbps/3.36Tbps；</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包转发率：126Mpps；；</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端口：24个10/100/1000Base-T自适应以太网端口，4个1000BASE-XSFP端口；</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链路聚合：支持GE端口聚合；支持10GE端口聚合；支持静态聚合；</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支持动态聚合；支持跨设备聚合；</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流量控制：支持802.3x流控及半双工背压流控；</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MAC地址表：支持静态、动态、黑洞MAC地址；支持源MAC地址过滤；</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支持设置端口MAC地址学习最大个数</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VLAN：支持802.1QVLAN；支持4KVLAN；支持基于端口的VLAN；</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支持QinQ、灵活QinQ；支持GuestVLAN；支持STP、RSTP、MSTP、PVST；</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ARP：支持免费ARP；支持动态ARP检测（DAI）；支持ARP限速；</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广播/组播/单播风暴抑制：支持基于端口速率百分比的风暴抑制；</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支持基于PPS的风暴抑制；支持基于bps的风暴抑制；</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802.1X：支持802.1X认证；支持基于端口的认证和基于MAC的认证；</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支持GuestVLAN；支持TRUNK端口认证；</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支持基于802.1x动态下发QoS/ACL/VLAN</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工作环境温度：-5℃～45℃。</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套</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4</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扫码设备安装组网</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车道至站区移动支付网络单独布线安装组网</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移动支付车道单元</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含车道收费模块及月票售卖模块改造功能如下：</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（1）去除原有的离线POS移动支付相关操作模块；</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（2）新增控制新扫码设备进行移动支付的相关操作模块；</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（3）新增移动支付相关数据生产、存储、上传、标记等相关功能。</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6</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月票及备用扫码设备（子母机）</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参数指标同车道设备扫码设备</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套</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移动支付站端单元</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（1）数据库表相关升级，增加移动支付相关业务数据字段；</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（2）收费业务架构调整，将移动支付数据管理方式从现金管理中剥离，并按非现金模式增加相关管理架构；</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（3）财务管理模块调整，主要实现三个目标：一是能实现移动支付数据查询对账管理，二是能在收费系统中对投诉或其他原因产生争议的移动支付数据进行稽核，三是能根据稽核结果实现退费功能。</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8</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站级软件安装调试运维及培训</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含SDWAN分配调试，账户注册、数据结算测试、对账退费等管理功能验证，系统开通，人员培训等相关服务。</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9</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FTP对账交互服务器</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1U 机架式服务器；</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CPU：国产自主可控x86芯片，核心数：≥ 8核</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内存：配置8GB DDR4 提供≥ 4个DIMM插槽，支持最大容量≥ 64GB，支持ECC错误校验</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硬盘：2块 1TB 3.5英寸/2.5英寸 SATA或SAS硬盘，提供≥4个硬盘盘位，支持热拔插</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网络：100/1000Mbps 自适应以太网电口*2；</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电源：450W 电源*1。</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操作系统：支持国产服务器版操作系统</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套</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10</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外网结算数据查询管理终端</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CPU：国产自主可控芯片，核心数​：≥ 8核</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内存：配置8GB DDR4，提供2个UDIMM插槽，最大支持32GB内存</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硬盘：SSD固态硬盘256G SSD+1T 机械磁盘；</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鼠标：USB 光电鼠标，键盘：标准键盘；</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网卡：100/1000Mbps 自适应以太网电口*1；</w:t>
            </w:r>
            <w:r>
              <w:rPr>
                <w:rFonts w:ascii="宋体" w:hAnsi="宋体" w:cs="宋体"/>
              </w:rPr>
            </w:r>
            <w:r/>
          </w:p>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显示器：23.8 英寸液晶显示器</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套</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11</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其他辅材</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含数据线、网络接头、跳线、传输模块、光缆熔接等辅材</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gridSpan w:val="5"/>
            <w:tcW w:w="10118"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b/>
                <w:bCs/>
                <w:color w:val="000000"/>
                <w:sz w:val="21"/>
                <w:szCs w:val="21"/>
              </w:rPr>
              <w:t xml:space="preserve">二、纸改电相关</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牌识设备更新</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传感器类型：300万像素1/1.8"卷帘曝光CMOS；</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相机有效像素：2048×1536；</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快门：自动/手动，14µs～40ms；</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最低照度：彩色0.006Lux@（F1.4，AGC ON）；</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增益控制：自动/手动；白平衡：自动/手动；</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宽动态：数字宽动态；降噪：3D、2D数字降噪；</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镜头接口：C；镜头光圈：F1.6 手动；</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变焦镜头：4mm～18mm；</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视频压缩标准：H.265/H.264 High Profile；</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视频码率：2Kbps～16Mbps；</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视频帧率：25fps@ H.265/H.264，码率可设；</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最大图像尺寸：H.265/H.264 1080P（1920×1080），MJPEG 2048×1536；</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图像设置：曝光时间、增益、白平衡等 自动调节；</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码流：主码流：1080P @25fps（默认）/720P @25fps(可选)，副码流：720P @25fps (可选)/ 1080P @25fps(默认)；</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车辆捕获率：≥99%；适用车速范围：≤60km/h；多检率：≤1%；</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车牌正确识别率：≥97%（不包含污损车牌）；</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输出信息：1张或2张车辆大图（可设置）、车牌彩色小图、车牌二值图、车牌颜色、车牌号码、附加信息文本等；</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网口：1个1000M RJ45（LAN1），1个 100M RJ45（LAN2）；</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继电器接口：1个 继电器信号输出（保留接口）；</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I/O接口：3路信号输出，2路信号输入；</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RS-485串行接口：1路 保留接口； </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CVBS复合视频接口：1路PAL制式视频输出；</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SD卡接口：1个支持Micro SD卡接收结果数据（保留接口）；</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电网同步信号接口：1路电网同步信号输入；</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网络协议：支持多种网络协议，包括TCP/IP、UDP、HTTP、NTP、RTSP等；</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接入标准：ONVIF、GB/T 28181；</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供电：AC 100～240V，50～60Hz；</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功耗：≤ 30W；</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平均无故障时间：MTBF ≥ 30000小时；</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平均修复时间：MTTR ≤ 90秒；</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环境温度：-20℃～+60℃；</w:t>
            </w:r>
            <w:r>
              <w:rPr>
                <w:rFonts w:hint="eastAsia" w:ascii="宋体" w:hAnsi="宋体" w:cs="宋体"/>
                <w:color w:val="000000"/>
                <w:sz w:val="21"/>
                <w:szCs w:val="21"/>
              </w:rPr>
              <w:br w:type="textWrapping" w:clear="all"/>
            </w:r>
            <w:r>
              <w:rPr>
                <w:rFonts w:hint="eastAsia" w:ascii="宋体" w:hAnsi="宋体" w:eastAsia="宋体" w:cs="宋体"/>
                <w:color w:val="000000"/>
                <w:sz w:val="21"/>
                <w:szCs w:val="21"/>
              </w:rPr>
              <w:t xml:space="preserve">环境湿度：20% ～ 90%（无凝结）。</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套</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6</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纸改电车道单元</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含车道收费模块及月票售卖模块改造功能如下：</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（1）去除原有的车道票据打印相关功能；</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（2）新增车牌二次识别、现金及移动支付时车牌确认、修正等相关功能；</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（3）按纸改电相关技术规范进行数据生产、存储、上传、标记等相关功能。</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纸改电站端单元</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（1）剥离收费系统中所有的和票据管理相关的业务功能；</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（2）剥离月票系统中所有的和票据管理相关的业务功能；</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（3）剥离统一收据系统中所有的和票据管理相关的业务功能；</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（4）所有业务系统按纸改电相关技术规范进行数据生产、存储、上传、标记等相关功能。</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（5）重构所有数据类型分类及查询统计等相关业务模块；</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（6）重构各类报表、台账等；</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含省中心收费系统软件配套升级</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该系统分期完成：</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一期：部分收费站实施移动支付和纸改电改造后，进行兼容性改造，满足两种站点同时运行的数据填报；</w:t>
            </w:r>
            <w:r>
              <w:rPr>
                <w:rFonts w:hint="eastAsia" w:ascii="宋体" w:hAnsi="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二期：全部实施移动支付和纸改电改造后，进行统一性改造，按新系统的特性进行数据填报。</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4</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站级软件安装调试及培训</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账户注册、数据测试、开票验证、平台业务培训等</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5</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省联网中心纸改电票据管理服务平台软件接入</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包含票据领销存服务/财政电子票据开票服务/站端开票数据服务/用户下载票据服务/平台账户权限服务等工作内容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项</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r>
      <w:tr>
        <w:trPr>
          <w:trHeight w:val="454"/>
        </w:trPr>
        <w:tc>
          <w:tcPr>
            <w:gridSpan w:val="5"/>
            <w:tcW w:w="10118"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b/>
                <w:bCs/>
                <w:color w:val="000000"/>
                <w:sz w:val="21"/>
                <w:szCs w:val="21"/>
              </w:rPr>
              <w:t xml:space="preserve">三、其他相关费用</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外网接入网络连接（20M双运营商线路备份SDWAN，含规划）</w:t>
            </w:r>
            <w:r>
              <w:rPr>
                <w:rFonts w:ascii="宋体" w:hAnsi="宋体" w:cs="宋体"/>
              </w:rPr>
            </w:r>
            <w:r/>
          </w:p>
        </w:tc>
        <w:tc>
          <w:tcPr>
            <w:tcW w:w="6000" w:type="dxa"/>
            <w:vAlign w:val="center"/>
            <w:textDirection w:val="lrTb"/>
            <w:noWrap w:val="false"/>
          </w:tcPr>
          <w:p>
            <w:pPr>
              <w:pStyle w:val="859"/>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移动、电信、联通三选二，双运营商网络租用、光组网设备采购安装调试，SDWAN组网规划及移动支付平台数据运维服务（专用线路）</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年</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收费站站端系统运维服务</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站端移动支付及纸改电相关系统软硬件运维服务</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年</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rPr>
            </w:r>
            <w:r/>
          </w:p>
        </w:tc>
      </w:tr>
      <w:tr>
        <w:trPr>
          <w:trHeight w:val="454"/>
        </w:trPr>
        <w:tc>
          <w:tcPr>
            <w:tcW w:w="714"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3</w:t>
            </w:r>
            <w:r>
              <w:rPr>
                <w:rFonts w:ascii="宋体" w:hAnsi="宋体" w:cs="宋体"/>
              </w:rPr>
            </w:r>
            <w:r/>
          </w:p>
        </w:tc>
        <w:tc>
          <w:tcPr>
            <w:tcW w:w="1906"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纸改电平台运维服务</w:t>
            </w:r>
            <w:r>
              <w:rPr>
                <w:rFonts w:ascii="宋体" w:hAnsi="宋体" w:cs="宋体"/>
              </w:rPr>
            </w:r>
            <w:r/>
          </w:p>
        </w:tc>
        <w:tc>
          <w:tcPr>
            <w:tcW w:w="6000" w:type="dxa"/>
            <w:vAlign w:val="center"/>
            <w:textDirection w:val="lrTb"/>
            <w:noWrap w:val="false"/>
          </w:tcPr>
          <w:p>
            <w:pPr>
              <w:pStyle w:val="859"/>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平台数据交互、网络联通、投诉问题协查等相关服务</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年</w:t>
            </w:r>
            <w:r>
              <w:rPr>
                <w:rFonts w:ascii="宋体" w:hAnsi="宋体" w:cs="宋体"/>
              </w:rPr>
            </w:r>
            <w:r/>
          </w:p>
        </w:tc>
        <w:tc>
          <w:tcPr>
            <w:tcW w:w="749" w:type="dxa"/>
            <w:vAlign w:val="center"/>
            <w:textDirection w:val="lrTb"/>
            <w:noWrap w:val="false"/>
          </w:tcPr>
          <w:p>
            <w:pPr>
              <w:pStyle w:val="859"/>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rPr>
            </w:r>
            <w:r/>
          </w:p>
        </w:tc>
      </w:tr>
    </w:tbl>
    <w:p>
      <w:pPr>
        <w:pStyle w:val="859"/>
        <w:ind w:firstLine="422"/>
        <w:spacing w:line="440" w:lineRule="exact"/>
        <w:rPr>
          <w:rFonts w:hint="eastAsia" w:ascii="宋体" w:hAnsi="宋体" w:cs="宋体"/>
          <w:b/>
          <w:bCs/>
          <w:color w:val="000000"/>
          <w:sz w:val="21"/>
          <w:szCs w:val="21"/>
        </w:rPr>
      </w:pPr>
      <w:r>
        <w:rPr>
          <w:rFonts w:ascii="宋体" w:hAnsi="宋体" w:cs="宋体"/>
        </w:rPr>
      </w:r>
      <w:bookmarkStart w:id="46" w:name="_Toc8229"/>
      <w:r>
        <w:rPr>
          <w:rFonts w:ascii="宋体" w:hAnsi="宋体" w:cs="宋体"/>
        </w:rPr>
      </w:r>
      <w:bookmarkStart w:id="47" w:name="_Toc8722"/>
      <w:r>
        <w:rPr>
          <w:rFonts w:ascii="宋体" w:hAnsi="宋体" w:cs="宋体"/>
        </w:rPr>
      </w:r>
      <w:bookmarkStart w:id="48" w:name="_Toc21768"/>
      <w:r>
        <w:rPr>
          <w:rFonts w:hint="eastAsia" w:ascii="宋体" w:hAnsi="宋体" w:eastAsia="宋体" w:cs="宋体"/>
          <w:b/>
          <w:bCs/>
          <w:color w:val="000000"/>
          <w:sz w:val="21"/>
          <w:szCs w:val="21"/>
        </w:rPr>
        <w:t xml:space="preserve">（五）项目实施要求</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项目工期：2025年12月15日前，须完成所有系统部署适配、功能测试验证等全流程工作，保障项目各项应用功能稳定正常运行。待试运行满3个月，试运行期间供应商必须及时修复发现的问题或针对业务进行系统调整，试运行通过后由采购单位组织项目验收。</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2.投标单位须在投标文件中提供《承诺函》，明确承诺于年底前完成网络接入工作，并在《承诺函》上加盖投标单位公章。若投标单位未按上述要求提供符合规定的《承诺函》，其投标将被视为无效投标。</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highlight w:val="none"/>
        </w:rPr>
        <w:t xml:space="preserve">3.供应商应结合采购单位建设要求，按照标准化项目实施管理规范，组建符合要求的实施团队，制定符合实际的实施计划（包括进度计划、测试与验收计划）、质量保障方案（</w:t>
      </w:r>
      <w:r>
        <w:rPr>
          <w:rFonts w:hint="eastAsia" w:ascii="宋体" w:hAnsi="宋体" w:eastAsia="宋体" w:cs="宋体"/>
          <w:color w:val="000000"/>
          <w:sz w:val="21"/>
          <w:szCs w:val="21"/>
        </w:rPr>
        <w:t xml:space="preserve">包括质量控制）及配合措施，科学开展项目实施工作，按时保质保量地完成项目交付。</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4.根据项目管理方案，完善项目组织管理、风险管理、运维管理，提供安全措施方案和运维服务方案，负责保障项目服务期内本项目安全、稳定地运行。安全措施方案需要包括数据保密性措施、系统应用安全措施、安全管理机制等内容；运维服务方案需要包括服务流程、服务规范、服务计划等内容。</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5.针对本项目需成立专门的项目团队，项目建设阶段，应当确保其为履行服务所指派的人员充足、合格、高素质，项目组人员不少于6名（含1名项目负责人、1名项目技术负责人），并具有提供服务的必要经验、技术资质。</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6.系统调试期间，项目负责人、项目技术负责人需在场，并向采购单位提供所有软件架构、开发、安装、性能调整、维护等所有文档。系统试运行后，要有专业工程师在场进行监测。系统运行期间，当系统出现故障时，工程师要迅速到现场进行诊断，解决软、硬件问题。</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7.执行有关项目建设的国家法律、法规、规范、标准和制度，履行合同规定的义务和职责；遵守国家的法律和政府的有关条例、规定和办法等。</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8.招标供应商不得转包、分包合同任务，确需分包的，应报经采购单位书面同意，并明确相应的责任和义务，同时不得将合同任务主体和关键部分分包；中标单位应建立健全网络和数据安全保护机制，发现重大问题需在24小时内向采购单位和相关部门报告。</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9.在系统开发、调试、试运行、正式运行使用过程中，中标单位必须严守保密规定，签订保密协议，未经同意，不得将采购单位信息数据向任何无关单位和个人提供和泄露，必须有严格的数据保密措施，项目建设过程中产生的数据、系统运行数据及收集的个人信息等数据资产归采购单位所有，如因操作不当导致数据泄密应追究相应法律责任。</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10.中标单位应当按照数据安全法、个人信息保护法等法律法规及相关政策规定的要求，加强数据安全保护，确保信息数据的安全性，维护采购单位的合法权益。</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11.中标单位应提供包括工作说明书、用户使用手册、维护手册等在内的完备准确的技术资料。</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12.在安装和系统调试期间，采购单位有权派出技术人员参加，中标单位有义务提供技术咨询。</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13.在系统运行期，如发生系统软件扩展升级等情况，中标单位应负责现场升级和向采购单位提供必要的技术资料。</w:t>
      </w:r>
      <w:r>
        <w:rPr>
          <w:rFonts w:ascii="宋体" w:hAnsi="宋体" w:cs="宋体"/>
        </w:rPr>
      </w:r>
      <w:r/>
    </w:p>
    <w:p>
      <w:pPr>
        <w:pStyle w:val="859"/>
        <w:ind w:firstLine="422"/>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（六）验收要求</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1.系统在达到了全部规定要求，试运行完成后中标单位在提交全部相关文档、报告、源代码等交付物的前提下，可以向采购单位提出系统竣工验收的申请。</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2.验收标准：以招标文件、投标文件、最终签订的合同及中标单位承诺的其他指标为依据，对中标单位所提供各项服务内容的完成质量与效果开展全面核查，确保其符合招标文件及相关标准中明确的各项要求。</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3.如验收不合格的，包括有明显的或潜在的缺陷、运行效果达不到要求等，采购单位有权提出书面异议，采购单位向中标单位提出书面异议后，中标单位应在采购单位书面异议中限定的时间内根据采购单位的要求进行补救措施。由此产生的一切费用及责任等均由中标单位承担。</w:t>
      </w:r>
      <w:r>
        <w:rPr>
          <w:rFonts w:ascii="宋体" w:hAnsi="宋体" w:cs="宋体"/>
        </w:rPr>
      </w:r>
      <w:r/>
    </w:p>
    <w:p>
      <w:pPr>
        <w:pStyle w:val="859"/>
        <w:ind w:firstLine="422"/>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（七）培训要求</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1.在项目验收合格后，组织操作人员开展1次专项培训，确保采购单位使用人员能够熟练掌握产品的各项功能并正常操作。</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2.培训对象主要分为涉及该项目的各类人员，必须针对不同的对象制定不同的培训计划，并分别培训。培训内容将涵盖各类用户业务、系统操作、技术框架使用培训。</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3.要求对所有被培训人员进行现场或远程培训，提供文字资料、讲义等相关用品。所有的资料必须是中文书写。</w:t>
      </w:r>
      <w:r>
        <w:rPr>
          <w:rFonts w:ascii="宋体" w:hAnsi="宋体" w:cs="宋体"/>
        </w:rPr>
      </w:r>
      <w:r/>
    </w:p>
    <w:p>
      <w:pPr>
        <w:pStyle w:val="859"/>
        <w:ind w:firstLine="42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color w:val="000000"/>
          <w:sz w:val="21"/>
          <w:szCs w:val="21"/>
        </w:rPr>
        <w:t xml:space="preserve">4.所有的培训费用包括差旅、食宿、教材、资料等由成交供应商负责，均计入报价总价中。</w:t>
      </w:r>
      <w:r>
        <w:rPr>
          <w:rFonts w:ascii="宋体" w:hAnsi="宋体" w:cs="宋体"/>
        </w:rPr>
      </w:r>
      <w:r/>
    </w:p>
    <w:p>
      <w:pPr>
        <w:pStyle w:val="859"/>
        <w:ind w:firstLine="422"/>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（八）质保及售后服务</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1.质保期：230省道吴江收费站：硬件质保期自项目整体验收合格之日起计算，期限不少于2年；同时提供1年的软件运维服务。258省道桃源收费站：硬件质保期同样自项目整体验收合格之日起计算，期限不少于2年；软件运维服务期限为2年。</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2.在质保期内，中标单位需承担以下服务责任，相关维护费用均由中标单位承担：</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（1）故障解决：涵盖系统自身故障，以及因外部原因（如操作系统故障、系统配置故障、对应用软件的错误操作等）导致的系统故障修复。</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（2）系统修改：根据实际需求对系统进行合理修改。</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（3）技术支持与维护服务：免费提供软件升级、软件故障排除、补丁安装、软件重装等全方面的技术支持及维护服务。</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3.为保障项目质保期内服务质量，中标单位需为本项目专门成立维护服务和技术支持小组，严格按照采购单位的要求，免费提供专业的维护服务与技术支持。</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4.中标单位需结合实际情况设定不同故障级别，并针对不同级别制定对应的故障响应方案，具体要求如下：</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（1）硬件故障：若硬件损坏非人为因素导致，中标单位需在12小时内提供替代设备，并完成免费更换与调试；若损坏由人为原因或自然灾害导致，中标单位可提供收费维修服务。</w:t>
      </w:r>
      <w:r>
        <w:rPr>
          <w:rFonts w:ascii="宋体" w:hAnsi="宋体" w:cs="宋体"/>
        </w:rPr>
      </w:r>
      <w:r/>
    </w:p>
    <w:p>
      <w:pPr>
        <w:pStyle w:val="859"/>
        <w:ind w:firstLine="42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color w:val="000000"/>
          <w:sz w:val="21"/>
          <w:szCs w:val="21"/>
        </w:rPr>
        <w:t xml:space="preserve">（2）软件故障：软件出现问题时，中标单位需在1小时内启动远程响应；对于一般软件问题，需在2小时内解决；若远程方式无法解决故障，需在12小时内派人到场处理。</w:t>
      </w:r>
      <w:r>
        <w:rPr>
          <w:rFonts w:ascii="宋体" w:hAnsi="宋体" w:cs="宋体"/>
        </w:rPr>
      </w:r>
      <w:r/>
    </w:p>
    <w:p>
      <w:pPr>
        <w:pStyle w:val="859"/>
        <w:ind w:firstLine="422"/>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（九）其他要求</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1.投标单位可对项目现场进行踏勘，但费用由投标单位自行承担。投标单位在报价时应充分考虑现场实际情况，采购单位不负担因供应商对项目现场情况考虑不周而产生的其他任何费用。</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2.安装队伍必须加强管理，遵守现场的一切规章制度，注意安全，一切伤亡事故由中标单位负全责；安装期间不得影响采购单位正常工作和秩序，必须服从采购单位管理。</w:t>
      </w:r>
      <w:r>
        <w:rPr>
          <w:rFonts w:ascii="宋体" w:hAnsi="宋体" w:cs="宋体"/>
        </w:rPr>
      </w:r>
      <w:r/>
    </w:p>
    <w:p>
      <w:pPr>
        <w:pStyle w:val="859"/>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3.中标单位保证所提供材料涉及到的知识产权和所提供的软件、技术资料是合法取得，并享有完整的知识产权，不会因为采购单位的使用而被责令停止使用、追偿或要求赔偿损失，如出现此情况，一切经济和法律责任均由中标单位承担。中标单位提供的所有材料必须为合格产品，质量符合相关标准和要求（若采购</w:t>
      </w:r>
      <w:r>
        <w:rPr>
          <w:rFonts w:hint="eastAsia" w:ascii="宋体" w:hAnsi="宋体" w:eastAsia="宋体" w:cs="宋体"/>
          <w:color w:val="000000"/>
          <w:sz w:val="21"/>
          <w:szCs w:val="21"/>
        </w:rPr>
        <w:t xml:space="preserve">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所有材料必须符合实际需求，满足采购技术要求部分所规定的全部功能。如材料出现质量问题或系假冒伪劣产品，中标单位负责包退、包换。</w:t>
      </w:r>
      <w:r>
        <w:rPr>
          <w:rFonts w:ascii="宋体" w:hAnsi="宋体" w:cs="宋体"/>
        </w:rPr>
      </w:r>
      <w:r/>
    </w:p>
    <w:p>
      <w:pPr>
        <w:pStyle w:val="859"/>
        <w:numPr>
          <w:ilvl w:val="0"/>
          <w:numId w:val="6"/>
        </w:numPr>
        <w:spacing w:line="440" w:lineRule="exact"/>
        <w:tabs>
          <w:tab w:val="left" w:pos="360" w:leader="none"/>
          <w:tab w:val="left" w:pos="540" w:leader="none"/>
        </w:tabs>
        <w:rPr>
          <w:rFonts w:hint="eastAsia" w:ascii="宋体" w:hAnsi="宋体" w:cs="宋体"/>
          <w:b/>
          <w:color w:val="000000"/>
          <w:sz w:val="21"/>
          <w:szCs w:val="21"/>
        </w:rPr>
      </w:pPr>
      <w:r>
        <w:rPr>
          <w:rFonts w:ascii="宋体" w:hAnsi="宋体" w:cs="宋体"/>
        </w:rPr>
      </w:r>
      <w:bookmarkEnd w:id="46"/>
      <w:r>
        <w:rPr>
          <w:rFonts w:ascii="宋体" w:hAnsi="宋体" w:cs="宋体"/>
        </w:rPr>
      </w:r>
      <w:bookmarkEnd w:id="47"/>
      <w:r>
        <w:rPr>
          <w:rFonts w:ascii="宋体" w:hAnsi="宋体" w:cs="宋体"/>
        </w:rPr>
      </w:r>
      <w:bookmarkEnd w:id="48"/>
      <w:r>
        <w:rPr>
          <w:rFonts w:ascii="宋体" w:hAnsi="宋体" w:cs="宋体"/>
        </w:rPr>
      </w:r>
      <w:bookmarkStart w:id="49" w:name="_Toc414602016"/>
      <w:r>
        <w:rPr>
          <w:rFonts w:hint="eastAsia" w:ascii="宋体" w:hAnsi="宋体" w:eastAsia="宋体" w:cs="宋体"/>
          <w:b/>
          <w:color w:val="000000"/>
          <w:sz w:val="21"/>
          <w:szCs w:val="21"/>
        </w:rPr>
        <w:t xml:space="preserve">综合说明及其它要求</w:t>
      </w:r>
      <w:r>
        <w:rPr>
          <w:rFonts w:ascii="宋体" w:hAnsi="宋体" w:cs="宋体"/>
        </w:rPr>
      </w:r>
      <w:r/>
    </w:p>
    <w:p>
      <w:pPr>
        <w:pStyle w:val="916"/>
        <w:ind w:firstLine="420"/>
        <w:spacing w:line="440" w:lineRule="exact"/>
        <w:rPr>
          <w:rFonts w:ascii="宋体" w:hAnsi="宋体" w:cs="宋体"/>
          <w:color w:val="000000"/>
          <w:sz w:val="21"/>
          <w:szCs w:val="21"/>
        </w:rPr>
      </w:pPr>
      <w:r>
        <w:rPr>
          <w:rFonts w:ascii="宋体" w:hAnsi="宋体" w:eastAsia="宋体" w:cs="宋体"/>
          <w:color w:val="000000"/>
          <w:sz w:val="21"/>
          <w:szCs w:val="21"/>
        </w:rPr>
        <w:t xml:space="preserve">1.本次招标不接受进口产品。</w:t>
      </w:r>
      <w:r>
        <w:rPr>
          <w:rFonts w:ascii="宋体" w:hAnsi="宋体" w:cs="宋体"/>
        </w:rPr>
      </w:r>
      <w:r/>
    </w:p>
    <w:p>
      <w:pPr>
        <w:pStyle w:val="916"/>
        <w:ind w:firstLine="420"/>
        <w:spacing w:line="440" w:lineRule="exact"/>
        <w:rPr>
          <w:rFonts w:ascii="宋体" w:hAnsi="宋体" w:eastAsia="宋体" w:cs="宋体"/>
          <w:color w:val="000000"/>
          <w:sz w:val="21"/>
          <w:szCs w:val="21"/>
        </w:rPr>
      </w:pPr>
      <w:r>
        <w:rPr>
          <w:rFonts w:ascii="宋体" w:hAnsi="宋体" w:eastAsia="宋体" w:cs="宋体"/>
          <w:color w:val="000000"/>
          <w:sz w:val="21"/>
          <w:szCs w:val="21"/>
        </w:rPr>
        <w:t xml:space="preserve">2.投标单位对招标文件中提出的全部技术规格与要求，如果其中某些条款不响应时，应在文件中逐条列出，未列出的视同响应。</w:t>
      </w:r>
      <w:r>
        <w:rPr>
          <w:rFonts w:ascii="宋体" w:hAnsi="宋体" w:cs="宋体"/>
          <w:color w:val="000000"/>
          <w:sz w:val="21"/>
          <w:szCs w:val="21"/>
        </w:rPr>
      </w:r>
      <w:r/>
    </w:p>
    <w:p>
      <w:pPr>
        <w:pStyle w:val="916"/>
        <w:ind w:firstLine="420"/>
        <w:spacing w:line="440" w:lineRule="exact"/>
        <w:rPr>
          <w:rFonts w:ascii="宋体" w:hAnsi="宋体" w:cs="宋体"/>
          <w:color w:val="000000"/>
          <w:sz w:val="21"/>
          <w:szCs w:val="21"/>
        </w:rPr>
      </w:pPr>
      <w:r>
        <w:rPr>
          <w:rFonts w:ascii="宋体" w:hAnsi="宋体" w:eastAsia="宋体" w:cs="宋体"/>
          <w:color w:val="000000"/>
          <w:sz w:val="21"/>
          <w:szCs w:val="21"/>
        </w:rPr>
      </w:r>
      <w:r>
        <w:rPr>
          <w:rFonts w:hint="eastAsia" w:ascii="宋体" w:hAnsi="宋体" w:eastAsia="宋体" w:cs="宋体"/>
          <w:color w:val="000000"/>
          <w:sz w:val="21"/>
          <w:szCs w:val="21"/>
        </w:rPr>
        <w:t xml:space="preserve">3.投标总报价一次报定，投标总报价</w:t>
      </w:r>
      <w:r>
        <w:rPr>
          <w:rFonts w:hint="eastAsia" w:ascii="宋体" w:hAnsi="宋体" w:eastAsia="宋体" w:cs="宋体"/>
          <w:color w:val="000000"/>
          <w:sz w:val="21"/>
          <w:szCs w:val="21"/>
          <w:lang w:val="zh-CN"/>
        </w:rPr>
        <w:t xml:space="preserve">应</w:t>
      </w:r>
      <w:r>
        <w:rPr>
          <w:rFonts w:hint="eastAsia" w:ascii="宋体" w:hAnsi="宋体" w:eastAsia="宋体" w:cs="宋体"/>
          <w:color w:val="000000"/>
          <w:sz w:val="21"/>
          <w:szCs w:val="21"/>
        </w:rPr>
        <w:t xml:space="preserve">包括全部标的物及其备品备件、</w:t>
      </w:r>
      <w:r>
        <w:rPr>
          <w:rFonts w:hint="eastAsia" w:ascii="宋体" w:hAnsi="宋体" w:eastAsia="宋体" w:cs="宋体"/>
          <w:color w:val="000000"/>
          <w:sz w:val="21"/>
          <w:szCs w:val="21"/>
          <w:lang w:val="zh-CN"/>
        </w:rPr>
        <w:t xml:space="preserve">部署费用、设备安装调试、日常运维、技术培训、系统升级等人工与技术服务费、材料、机械、管理、利润、税金、政策性文件规定及合同包含的所有风险、责任等一切费用。</w:t>
      </w:r>
      <w:r>
        <w:rPr>
          <w:rFonts w:ascii="宋体" w:hAnsi="宋体" w:cs="宋体"/>
          <w:color w:val="000000"/>
          <w:sz w:val="21"/>
          <w:szCs w:val="21"/>
        </w:rPr>
      </w:r>
      <w:r/>
    </w:p>
    <w:p>
      <w:pPr>
        <w:pStyle w:val="859"/>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4.合同履行期限：2025年12月15日前，须完成所有系统部署适配、功能测试验证等全流程工作，保障项目各项应用功能稳定正常运行。</w:t>
      </w:r>
      <w:r>
        <w:rPr>
          <w:rFonts w:ascii="宋体" w:hAnsi="宋体" w:cs="宋体"/>
        </w:rPr>
      </w:r>
      <w:r/>
    </w:p>
    <w:p>
      <w:pPr>
        <w:pStyle w:val="871"/>
        <w:ind w:firstLine="42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服务</w:t>
      </w:r>
      <w:r>
        <w:rPr>
          <w:rFonts w:hint="eastAsia" w:ascii="宋体" w:hAnsi="宋体" w:eastAsia="宋体" w:cs="宋体"/>
          <w:color w:val="000000"/>
          <w:sz w:val="21"/>
          <w:szCs w:val="21"/>
          <w:highlight w:val="none"/>
        </w:rPr>
        <w:t xml:space="preserve">地方：采购单位指定地点。</w:t>
      </w:r>
      <w:r>
        <w:rPr>
          <w:rFonts w:ascii="宋体" w:hAnsi="宋体" w:cs="宋体"/>
        </w:rPr>
      </w:r>
      <w:r/>
    </w:p>
    <w:p>
      <w:pPr>
        <w:pStyle w:val="871"/>
        <w:ind w:firstLine="420"/>
        <w:jc w:val="left"/>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6.付款步骤：</w:t>
      </w:r>
      <w:r>
        <w:rPr>
          <w:rFonts w:hint="eastAsia" w:ascii="宋体" w:hAnsi="宋体" w:eastAsia="宋体" w:cs="宋体"/>
          <w:color w:val="000000"/>
          <w:sz w:val="21"/>
          <w:szCs w:val="21"/>
          <w:highlight w:val="none"/>
        </w:rPr>
        <w:t xml:space="preserve">合同签订后，待项目硬件设备全部安装调试完成，且软件系统完成开发部署并经甲方确认后，甲方向乙方支付款项至合同总金额的50%；项目整体完成3个月试运行，且通过甲方组织的正式验收后，甲方向乙方支付款项至合同总金额的60%；项目进入送审流程，经审计机构审计并验收合格后，甲方向乙方支付款项至审计确认总金额的80%；自审计报告出具之日起满两年，且项目无重大质量问题的，甲方向乙方支付剩余款项，即支付至审计总金额的100%。</w:t>
      </w:r>
      <w:r>
        <w:rPr>
          <w:rFonts w:ascii="宋体" w:hAnsi="宋体" w:cs="宋体"/>
        </w:rPr>
      </w:r>
      <w:r/>
    </w:p>
    <w:p>
      <w:pPr>
        <w:pStyle w:val="916"/>
        <w:ind w:firstLine="420"/>
        <w:spacing w:line="440" w:lineRule="exact"/>
        <w:rPr>
          <w:rFonts w:ascii="宋体" w:hAnsi="宋体" w:cs="宋体"/>
          <w:color w:val="000000"/>
          <w:sz w:val="21"/>
          <w:szCs w:val="21"/>
          <w:highlight w:val="none"/>
        </w:rPr>
      </w:pPr>
      <w:r>
        <w:rPr>
          <w:rFonts w:ascii="宋体" w:hAnsi="宋体" w:eastAsia="宋体" w:cs="宋体"/>
          <w:color w:val="000000"/>
          <w:sz w:val="21"/>
          <w:szCs w:val="21"/>
          <w:highlight w:val="none"/>
        </w:rPr>
        <w:t xml:space="preserve">7.凡涉及招标文件的补充说明和修改，均以江苏政府采购、苏州政府采购网发布的通知为准。</w:t>
      </w:r>
      <w:r>
        <w:rPr>
          <w:rFonts w:ascii="宋体" w:hAnsi="宋体" w:cs="宋体"/>
        </w:rPr>
      </w:r>
      <w:r/>
    </w:p>
    <w:p>
      <w:pPr>
        <w:pStyle w:val="859"/>
        <w:numPr>
          <w:ilvl w:val="0"/>
          <w:numId w:val="6"/>
        </w:numPr>
        <w:spacing w:line="440" w:lineRule="exact"/>
        <w:tabs>
          <w:tab w:val="left" w:pos="360" w:leader="none"/>
          <w:tab w:val="left" w:pos="540" w:leader="none"/>
        </w:tabs>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政府采购政策</w:t>
      </w:r>
      <w:r>
        <w:rPr>
          <w:rFonts w:hint="eastAsia" w:ascii="宋体" w:hAnsi="宋体" w:eastAsia="宋体" w:cs="宋体"/>
          <w:b/>
          <w:color w:val="000000"/>
          <w:sz w:val="21"/>
          <w:szCs w:val="21"/>
          <w:highlight w:val="none"/>
        </w:rPr>
        <w:t xml:space="preserve">（如涉及）</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1.本次招标不接受进口产品，进口产品的定义为：指通过中国海关报关验收进入中国境内且产自境外的产品，具体按照苏财购〔2008〕14号江苏省财政厅转发财政部办公厅关于政府采购进口产品管理有关问题的通知的规定。</w:t>
      </w:r>
      <w:r>
        <w:rPr>
          <w:rFonts w:ascii="宋体" w:hAnsi="宋体" w:cs="宋体"/>
        </w:rPr>
      </w:r>
      <w:r/>
    </w:p>
    <w:p>
      <w:pPr>
        <w:pStyle w:val="859"/>
        <w:ind w:firstLine="420"/>
        <w:spacing w:line="440" w:lineRule="exact"/>
        <w:tabs>
          <w:tab w:val="left" w:pos="567" w:leader="none"/>
        </w:tabs>
        <w:rPr>
          <w:rFonts w:hint="eastAsia" w:ascii="宋体" w:hAnsi="宋体" w:cs="宋体"/>
          <w:b/>
          <w:bCs/>
          <w:color w:val="000000"/>
          <w:sz w:val="21"/>
          <w:szCs w:val="21"/>
        </w:rPr>
      </w:pPr>
      <w:r>
        <w:rPr>
          <w:rFonts w:hint="eastAsia" w:ascii="宋体" w:hAnsi="宋体" w:eastAsia="宋体" w:cs="宋体"/>
          <w:color w:val="000000"/>
          <w:sz w:val="21"/>
          <w:szCs w:val="21"/>
        </w:rPr>
        <w:t xml:space="preserve">2.小、微企业</w:t>
      </w:r>
      <w:r>
        <w:rPr>
          <w:rFonts w:hint="eastAsia" w:ascii="宋体" w:hAnsi="宋体" w:eastAsia="宋体" w:cs="宋体"/>
          <w:b/>
          <w:bCs/>
          <w:color w:val="000000"/>
          <w:sz w:val="21"/>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rPr>
      </w:r>
      <w:r/>
    </w:p>
    <w:p>
      <w:pPr>
        <w:pStyle w:val="859"/>
        <w:ind w:firstLine="420"/>
        <w:spacing w:line="440" w:lineRule="exact"/>
        <w:tabs>
          <w:tab w:val="left" w:pos="567" w:leader="none"/>
        </w:tabs>
        <w:rPr>
          <w:rFonts w:hint="eastAsia" w:ascii="宋体" w:hAnsi="宋体" w:cs="宋体"/>
          <w:b/>
          <w:color w:val="000000"/>
          <w:sz w:val="21"/>
          <w:szCs w:val="21"/>
        </w:rPr>
      </w:pPr>
      <w:r>
        <w:rPr>
          <w:rFonts w:hint="eastAsia" w:ascii="宋体" w:hAnsi="宋体" w:eastAsia="宋体" w:cs="宋体"/>
          <w:color w:val="000000"/>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投标报价扣除20%后参与评审。</w:t>
      </w:r>
      <w:r>
        <w:rPr>
          <w:rFonts w:hint="eastAsia" w:ascii="宋体" w:hAnsi="宋体" w:eastAsia="宋体" w:cs="宋体"/>
          <w:b/>
          <w:color w:val="000000"/>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sz w:val="21"/>
          <w:szCs w:val="21"/>
        </w:rPr>
        <w:t xml:space="preserve">服务类项目中供应商若使用退休人员，将不享受相关扶持政策。</w:t>
      </w:r>
      <w:r>
        <w:rPr>
          <w:rFonts w:ascii="宋体" w:hAnsi="宋体" w:cs="宋体"/>
        </w:rPr>
      </w:r>
      <w:r/>
    </w:p>
    <w:p>
      <w:pPr>
        <w:pStyle w:val="859"/>
        <w:ind w:firstLine="422"/>
        <w:spacing w:line="440" w:lineRule="exact"/>
        <w:tabs>
          <w:tab w:val="left" w:pos="420" w:leader="none"/>
          <w:tab w:val="left" w:pos="1260"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根据《政府采购促进中小企业发展管理办法》（财库〔2020〕46号）及《中小企业划型标准规定》（工信部联企业〔2011〕300号），本项目采购标的对应的中小企业划分标准所属行业为：其他未列明行列。</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3.残疾人福利性单位</w:t>
      </w:r>
      <w:r>
        <w:rPr>
          <w:rFonts w:hint="eastAsia" w:ascii="宋体" w:hAnsi="宋体" w:eastAsia="宋体" w:cs="宋体"/>
          <w:b/>
          <w:bCs/>
          <w:color w:val="000000"/>
          <w:sz w:val="21"/>
          <w:szCs w:val="21"/>
        </w:rPr>
        <w:t xml:space="preserve">（若为专门面向中小企业采购的项目或者采购包，不再执行价格评审优惠的扶持政策）</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4.监狱企业</w:t>
      </w:r>
      <w:r>
        <w:rPr>
          <w:rFonts w:hint="eastAsia" w:ascii="宋体" w:hAnsi="宋体" w:eastAsia="宋体" w:cs="宋体"/>
          <w:b/>
          <w:bCs/>
          <w:color w:val="000000"/>
          <w:sz w:val="21"/>
          <w:szCs w:val="21"/>
        </w:rPr>
        <w:t xml:space="preserve">（若为专门面向中小企业采购的项目或者采购包，不再执行价格评审优惠的扶持政策）</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5.绿色采购</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（1）根据《关于调整优化节能产品、环境标志产品政府采购执行机制的通知》（财库〔2019〕9号）等相关文件的规定，</w:t>
      </w:r>
      <w:r>
        <w:rPr>
          <w:rFonts w:hint="eastAsia" w:ascii="宋体" w:hAnsi="宋体" w:eastAsia="宋体" w:cs="宋体"/>
          <w:b/>
          <w:bCs/>
          <w:color w:val="000000"/>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859"/>
        <w:numPr>
          <w:ilvl w:val="0"/>
          <w:numId w:val="6"/>
        </w:numPr>
        <w:spacing w:line="440" w:lineRule="exact"/>
        <w:tabs>
          <w:tab w:val="left" w:pos="360" w:leader="none"/>
          <w:tab w:val="left" w:pos="540" w:leader="none"/>
        </w:tabs>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1.小、微企业</w:t>
      </w:r>
      <w:r>
        <w:rPr>
          <w:rFonts w:hint="eastAsia" w:ascii="宋体" w:hAnsi="宋体" w:eastAsia="宋体" w:cs="宋体"/>
          <w:b/>
          <w:color w:val="000000"/>
          <w:sz w:val="21"/>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rFonts w:ascii="宋体" w:hAnsi="宋体" w:cs="宋体"/>
        </w:rPr>
      </w:r>
      <w:r/>
    </w:p>
    <w:p>
      <w:pPr>
        <w:pStyle w:val="859"/>
        <w:ind w:firstLine="422"/>
        <w:spacing w:line="440" w:lineRule="exact"/>
        <w:tabs>
          <w:tab w:val="left" w:pos="567" w:leader="none"/>
        </w:tabs>
        <w:rPr>
          <w:rFonts w:hint="eastAsia" w:ascii="宋体" w:hAnsi="宋体" w:cs="宋体"/>
          <w:color w:val="000000"/>
          <w:sz w:val="21"/>
          <w:szCs w:val="21"/>
        </w:rPr>
      </w:pPr>
      <w:r>
        <w:rPr>
          <w:rFonts w:hint="eastAsia" w:ascii="宋体" w:hAnsi="宋体" w:eastAsia="宋体" w:cs="宋体"/>
          <w:b/>
          <w:color w:val="000000"/>
          <w:sz w:val="21"/>
          <w:szCs w:val="21"/>
        </w:rPr>
        <w:t xml:space="preserve">其中，供应商提供的货物既有中小企业制造货物，也有大型企业制造货物的，不享受中小企业扶持政策。</w:t>
      </w:r>
      <w:r>
        <w:rPr>
          <w:rFonts w:ascii="宋体" w:hAnsi="宋体" w:cs="宋体"/>
        </w:rPr>
      </w:r>
      <w:r/>
    </w:p>
    <w:p>
      <w:pPr>
        <w:pStyle w:val="859"/>
        <w:ind w:firstLine="420"/>
        <w:spacing w:line="440" w:lineRule="exact"/>
        <w:tabs>
          <w:tab w:val="left" w:pos="420" w:leader="none"/>
          <w:tab w:val="left" w:pos="1260" w:leader="none"/>
          <w:tab w:val="left" w:pos="1440" w:leader="none"/>
        </w:tabs>
        <w:rPr>
          <w:rFonts w:hint="eastAsia" w:ascii="宋体" w:hAnsi="宋体" w:cs="宋体"/>
          <w:b/>
          <w:color w:val="000000"/>
          <w:sz w:val="21"/>
          <w:szCs w:val="21"/>
        </w:rPr>
      </w:pPr>
      <w:r>
        <w:rPr>
          <w:rFonts w:hint="eastAsia" w:ascii="宋体" w:hAnsi="宋体" w:eastAsia="宋体" w:cs="宋体"/>
          <w:color w:val="000000"/>
          <w:sz w:val="21"/>
          <w:szCs w:val="21"/>
        </w:rPr>
        <w:t xml:space="preserve">供应商根据《政府采购促进中小企业发展管理办法》（财库〔2020〕46号）及《中小企业划型标准规定》（工信部联企业〔2011〕300号），</w:t>
      </w:r>
      <w:r>
        <w:rPr>
          <w:rFonts w:hint="eastAsia" w:ascii="宋体" w:hAnsi="宋体" w:eastAsia="宋体" w:cs="宋体"/>
          <w:b/>
          <w:color w:val="000000"/>
          <w:sz w:val="21"/>
          <w:szCs w:val="21"/>
        </w:rPr>
        <w:t xml:space="preserve">明确标的承接企业所属企业类型。</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2.残疾人福利性单位</w:t>
      </w:r>
      <w:r>
        <w:rPr>
          <w:rFonts w:hint="eastAsia" w:ascii="宋体" w:hAnsi="宋体" w:eastAsia="宋体" w:cs="宋体"/>
          <w:b/>
          <w:color w:val="000000"/>
          <w:sz w:val="21"/>
          <w:szCs w:val="21"/>
        </w:rPr>
        <w:t xml:space="preserve">（若为专门面向中小企业采购的项目或者采购包，不再执行价格评审优惠的扶持政策）</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3.监狱企业</w:t>
      </w:r>
      <w:r>
        <w:rPr>
          <w:rFonts w:hint="eastAsia" w:ascii="宋体" w:hAnsi="宋体" w:eastAsia="宋体" w:cs="宋体"/>
          <w:b/>
          <w:color w:val="000000"/>
          <w:sz w:val="21"/>
          <w:szCs w:val="21"/>
        </w:rPr>
        <w:t xml:space="preserve">（若为专门面向中小企业采购的项目或者采购包，不再执行价格评审优惠的扶持政策）</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4.绿色采购</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bCs/>
          <w:color w:val="000000"/>
          <w:sz w:val="21"/>
          <w:szCs w:val="21"/>
        </w:rPr>
        <w:t xml:space="preserve">（1）根</w:t>
      </w:r>
      <w:r>
        <w:rPr>
          <w:rFonts w:hint="eastAsia" w:ascii="宋体" w:hAnsi="宋体" w:eastAsia="宋体" w:cs="宋体"/>
          <w:color w:val="000000"/>
          <w:sz w:val="21"/>
          <w:szCs w:val="21"/>
        </w:rPr>
        <w:t xml:space="preserve">据《关于调整优化节能产品、环境标志产品政府采购执行机制的通知》（财库〔2019〕9号）等相关文件的规定，</w:t>
      </w:r>
      <w:r>
        <w:rPr>
          <w:rFonts w:hint="eastAsia" w:ascii="宋体" w:hAnsi="宋体" w:eastAsia="宋体" w:cs="宋体"/>
          <w:b/>
          <w:color w:val="000000"/>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859"/>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916"/>
        <w:ind w:firstLine="0"/>
        <w:jc w:val="center"/>
        <w:spacing w:before="166" w:after="166" w:line="440" w:lineRule="exact"/>
        <w:rPr>
          <w:rFonts w:ascii="宋体" w:hAnsi="宋体" w:cs="宋体"/>
          <w:b/>
          <w:bCs/>
          <w:color w:val="000000"/>
        </w:rPr>
      </w:pPr>
      <w:r>
        <w:rPr>
          <w:rFonts w:ascii="宋体" w:hAnsi="宋体" w:cs="宋体"/>
          <w:color w:val="000000"/>
          <w:sz w:val="21"/>
          <w:szCs w:val="21"/>
        </w:rPr>
        <w:br w:type="page" w:clear="all"/>
      </w:r>
      <w:r>
        <w:rPr>
          <w:rFonts w:ascii="宋体" w:hAnsi="宋体" w:eastAsia="宋体" w:cs="宋体"/>
          <w:b/>
          <w:bCs/>
          <w:color w:val="000000"/>
          <w:sz w:val="44"/>
          <w:szCs w:val="44"/>
        </w:rPr>
        <w:t xml:space="preserve">第五章 合同的主要条款</w:t>
      </w:r>
      <w:bookmarkEnd w:id="49"/>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甲方（采购人）：</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单位地址：</w:t>
            </w:r>
            <w:r>
              <w:rPr>
                <w:rFonts w:ascii="宋体" w:hAnsi="宋体" w:cs="宋体"/>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乙方（供应商）：</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单位地址：</w:t>
            </w:r>
            <w:r>
              <w:rPr>
                <w:rFonts w:ascii="宋体" w:hAnsi="宋体" w:cs="宋体"/>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签订日期：</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59"/>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签订地点：</w:t>
            </w:r>
            <w:r>
              <w:rPr>
                <w:rFonts w:ascii="宋体" w:hAnsi="宋体" w:cs="宋体"/>
              </w:rPr>
            </w:r>
            <w:r/>
          </w:p>
        </w:tc>
      </w:tr>
    </w:tbl>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依据甲方委托</w:t>
      </w:r>
      <w:r>
        <w:rPr>
          <w:rFonts w:hint="eastAsia" w:ascii="宋体" w:hAnsi="宋体" w:eastAsia="宋体" w:cs="宋体"/>
          <w:color w:val="000000"/>
          <w:sz w:val="21"/>
          <w:szCs w:val="21"/>
          <w:u w:val="single"/>
        </w:rPr>
        <w:t xml:space="preserve">苏州欣禾诚工程咨询服务有限公司</w:t>
      </w:r>
      <w:r>
        <w:rPr>
          <w:rFonts w:hint="eastAsia" w:ascii="宋体" w:hAnsi="宋体" w:eastAsia="宋体" w:cs="宋体"/>
          <w:color w:val="000000"/>
          <w:sz w:val="21"/>
          <w:szCs w:val="21"/>
        </w:rPr>
        <w:t xml:space="preserve">进行本项目即</w:t>
      </w:r>
      <w:r>
        <w:rPr>
          <w:rFonts w:hint="eastAsia" w:ascii="宋体" w:hAnsi="宋体" w:eastAsia="宋体" w:cs="宋体"/>
          <w:color w:val="000000"/>
          <w:sz w:val="21"/>
          <w:szCs w:val="21"/>
          <w:u w:val="single"/>
        </w:rPr>
        <w:t xml:space="preserve">230省道吴江收费站、258省道桃源收费站财政电子票据改革收费系统改造项目（招标编号：</w:t>
      </w:r>
      <w:r>
        <w:rPr>
          <w:rFonts w:hint="eastAsia" w:ascii="宋体" w:hAnsi="宋体" w:cs="宋体"/>
          <w:color w:val="000000"/>
          <w:sz w:val="21"/>
          <w:szCs w:val="21"/>
          <w:u w:val="single"/>
          <w:lang w:eastAsia="zh-CN"/>
        </w:rPr>
        <w:t xml:space="preserve">JSZC-320509-SXHC-G2025-0023</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政府采购的招标结果，确定乙方为本次中标供应商，现依照招标文件、乙方的投标文件及相关文件的内容，签订本合同书。</w:t>
      </w:r>
      <w:r>
        <w:rPr>
          <w:rFonts w:ascii="宋体" w:hAnsi="宋体" w:cs="宋体"/>
        </w:rPr>
      </w:r>
      <w:r/>
    </w:p>
    <w:p>
      <w:pPr>
        <w:pStyle w:val="859"/>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一、合同所涉及的服务基本情况及范围：</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乙方负责</w:t>
      </w:r>
      <w:r>
        <w:rPr>
          <w:rFonts w:hint="eastAsia" w:ascii="宋体" w:hAnsi="宋体" w:eastAsia="宋体" w:cs="宋体"/>
          <w:color w:val="000000"/>
          <w:sz w:val="21"/>
          <w:szCs w:val="21"/>
          <w:u w:val="single"/>
        </w:rPr>
        <w:t xml:space="preserve">230省道吴江收费站、258省道桃源收费站财政电子票据改革收费系统改造项目</w:t>
      </w:r>
      <w:r>
        <w:rPr>
          <w:rFonts w:hint="eastAsia" w:ascii="宋体" w:hAnsi="宋体" w:eastAsia="宋体" w:cs="宋体"/>
          <w:color w:val="000000"/>
          <w:sz w:val="21"/>
          <w:szCs w:val="21"/>
        </w:rPr>
        <w:t xml:space="preserve">的全流程实施。甲方对乙方工作进行监管和考核，若乙方不能按本合同及招标文件要求实施项目，甲方有权终止合同。本合同有效期内，任何一方不得擅自变更或中止合同；未经双方书面同意擅自变更或中止的，需承担违约责任。苏州市吴江区公路事业发展中心仅负责本项目招标采购活动，甲方的权利、责任及义务由230省道吴江收费站、258省道桃源收费站分别执行和承担。</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下列文件为本合同不可分割部分，与本合同具有同等法律效力：</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zh-CN"/>
        </w:rPr>
        <w:t xml:space="preserve">中标通知书；</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乙方的投标文件；</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招标文件及其附件；</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乙方在招投标过程中所作的其他承诺、声明、书面澄清等；</w:t>
      </w:r>
      <w:r>
        <w:rPr>
          <w:rFonts w:ascii="宋体" w:hAnsi="宋体" w:cs="宋体"/>
        </w:rPr>
      </w:r>
      <w:r/>
    </w:p>
    <w:p>
      <w:pPr>
        <w:pStyle w:val="859"/>
        <w:ind w:firstLine="42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合同附件。</w:t>
      </w:r>
      <w:r>
        <w:rPr>
          <w:rFonts w:ascii="宋体" w:hAnsi="宋体" w:cs="宋体"/>
        </w:rPr>
      </w:r>
      <w:r/>
    </w:p>
    <w:p>
      <w:pPr>
        <w:pStyle w:val="859"/>
        <w:ind w:firstLine="42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上述内容有冲突的，以有利于甲方、标准高的为准。</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合同内容：服务内容主要包括包括移动支付系统改造、纸改电系统改造、外网接入及运维服务，具体详见招标文件、乙方投标文件及服务清单等。</w:t>
      </w:r>
      <w:r>
        <w:rPr>
          <w:rFonts w:ascii="宋体" w:hAnsi="宋体" w:cs="宋体"/>
        </w:rPr>
      </w:r>
      <w:r/>
    </w:p>
    <w:p>
      <w:pPr>
        <w:pStyle w:val="859"/>
        <w:ind w:firstLine="42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合同履行期限：2025年12月15日前，须完成所有系统部署适配、功能测试验证等全流程工作，保障项目各项应用功能稳定正常运行。</w:t>
      </w:r>
      <w:r>
        <w:rPr>
          <w:rFonts w:ascii="宋体" w:hAnsi="宋体" w:cs="宋体"/>
        </w:rPr>
      </w:r>
      <w:r/>
    </w:p>
    <w:p>
      <w:pPr>
        <w:pStyle w:val="85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项目地点：甲方指定地点。</w:t>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二、</w:t>
      </w:r>
      <w:r>
        <w:rPr>
          <w:rFonts w:hint="eastAsia" w:ascii="宋体" w:hAnsi="宋体" w:eastAsia="宋体" w:cs="宋体"/>
          <w:b/>
          <w:color w:val="000000"/>
          <w:sz w:val="21"/>
          <w:szCs w:val="21"/>
        </w:rPr>
        <w:t xml:space="preserve">合同价格与支付：</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1</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lang w:bidi="ar"/>
        </w:rPr>
        <w:t xml:space="preserve">本合同总价款为（大写）：人民币</w:t>
      </w:r>
      <w:r>
        <w:rPr>
          <w:rFonts w:hint="eastAsia" w:ascii="宋体" w:hAnsi="宋体" w:cs="宋体"/>
          <w:color w:val="000000"/>
          <w:sz w:val="21"/>
          <w:szCs w:val="21"/>
          <w:u w:val="single"/>
          <w:lang w:bidi="ar"/>
        </w:rPr>
        <w:t xml:space="preserve">          </w:t>
      </w:r>
      <w:r>
        <w:rPr>
          <w:rFonts w:hint="eastAsia" w:ascii="宋体" w:hAnsi="宋体" w:eastAsia="宋体" w:cs="宋体"/>
          <w:color w:val="000000"/>
          <w:sz w:val="21"/>
          <w:szCs w:val="21"/>
          <w:lang w:bidi="ar"/>
        </w:rPr>
        <w:t xml:space="preserve">（小写）¥</w:t>
      </w:r>
      <w:r>
        <w:rPr>
          <w:rFonts w:hint="eastAsia" w:ascii="宋体" w:hAnsi="宋体" w:cs="宋体"/>
          <w:color w:val="000000"/>
          <w:sz w:val="21"/>
          <w:szCs w:val="21"/>
          <w:u w:val="single"/>
          <w:lang w:bidi="ar"/>
        </w:rPr>
        <w:t xml:space="preserve">       </w:t>
      </w:r>
      <w:r>
        <w:rPr>
          <w:rFonts w:hint="eastAsia" w:ascii="宋体" w:hAnsi="宋体" w:eastAsia="宋体" w:cs="宋体"/>
          <w:color w:val="000000"/>
          <w:sz w:val="21"/>
          <w:szCs w:val="21"/>
          <w:lang w:bidi="ar"/>
        </w:rPr>
        <w:t xml:space="preserve">元，其中</w:t>
      </w:r>
      <w:r>
        <w:rPr>
          <w:rFonts w:hint="eastAsia" w:ascii="宋体" w:hAnsi="宋体" w:eastAsia="宋体" w:cs="宋体"/>
          <w:color w:val="000000"/>
          <w:sz w:val="21"/>
          <w:szCs w:val="21"/>
        </w:rPr>
        <w:t xml:space="preserve">230省道吴江收费站费用为</w:t>
      </w:r>
      <w:r>
        <w:rPr>
          <w:rFonts w:hint="eastAsia" w:ascii="宋体" w:hAnsi="宋体" w:eastAsia="宋体" w:cs="宋体"/>
          <w:color w:val="000000"/>
          <w:sz w:val="21"/>
          <w:szCs w:val="21"/>
          <w:lang w:bidi="ar"/>
        </w:rPr>
        <w:t xml:space="preserve">（大写）人民币</w:t>
      </w:r>
      <w:r>
        <w:rPr>
          <w:rFonts w:hint="eastAsia" w:ascii="宋体" w:hAnsi="宋体" w:cs="宋体"/>
          <w:color w:val="000000"/>
          <w:sz w:val="21"/>
          <w:szCs w:val="21"/>
          <w:u w:val="single"/>
          <w:lang w:bidi="ar"/>
        </w:rPr>
        <w:t xml:space="preserve">          </w:t>
      </w:r>
      <w:r>
        <w:rPr>
          <w:rFonts w:hint="eastAsia" w:ascii="宋体" w:hAnsi="宋体" w:eastAsia="宋体" w:cs="宋体"/>
          <w:color w:val="000000"/>
          <w:sz w:val="21"/>
          <w:szCs w:val="21"/>
          <w:lang w:bidi="ar"/>
        </w:rPr>
        <w:t xml:space="preserve">（小写）¥</w:t>
      </w:r>
      <w:r>
        <w:rPr>
          <w:rFonts w:hint="eastAsia" w:ascii="宋体" w:hAnsi="宋体" w:cs="宋体"/>
          <w:color w:val="000000"/>
          <w:sz w:val="21"/>
          <w:szCs w:val="21"/>
          <w:u w:val="single"/>
          <w:lang w:bidi="ar"/>
        </w:rPr>
        <w:t xml:space="preserve">       </w:t>
      </w:r>
      <w:r>
        <w:rPr>
          <w:rFonts w:hint="eastAsia" w:ascii="宋体" w:hAnsi="宋体" w:eastAsia="宋体" w:cs="宋体"/>
          <w:color w:val="000000"/>
          <w:sz w:val="21"/>
          <w:szCs w:val="21"/>
          <w:lang w:bidi="ar"/>
        </w:rPr>
        <w:t xml:space="preserve">元</w:t>
      </w:r>
      <w:r>
        <w:rPr>
          <w:rFonts w:hint="eastAsia" w:ascii="宋体" w:hAnsi="宋体" w:eastAsia="宋体" w:cs="宋体"/>
          <w:color w:val="000000"/>
          <w:sz w:val="21"/>
          <w:szCs w:val="21"/>
        </w:rPr>
        <w:t xml:space="preserve">、258省道桃源收费站费用为</w:t>
      </w:r>
      <w:r>
        <w:rPr>
          <w:rFonts w:hint="eastAsia" w:ascii="宋体" w:hAnsi="宋体" w:eastAsia="宋体" w:cs="宋体"/>
          <w:color w:val="000000"/>
          <w:sz w:val="21"/>
          <w:szCs w:val="21"/>
          <w:lang w:bidi="ar"/>
        </w:rPr>
        <w:t xml:space="preserve">（大写）人民币</w:t>
      </w:r>
      <w:r>
        <w:rPr>
          <w:rFonts w:hint="eastAsia" w:ascii="宋体" w:hAnsi="宋体" w:cs="宋体"/>
          <w:color w:val="000000"/>
          <w:sz w:val="21"/>
          <w:szCs w:val="21"/>
          <w:u w:val="single"/>
          <w:lang w:bidi="ar"/>
        </w:rPr>
        <w:t xml:space="preserve">          </w:t>
      </w:r>
      <w:r>
        <w:rPr>
          <w:rFonts w:hint="eastAsia" w:ascii="宋体" w:hAnsi="宋体" w:eastAsia="宋体" w:cs="宋体"/>
          <w:color w:val="000000"/>
          <w:sz w:val="21"/>
          <w:szCs w:val="21"/>
          <w:lang w:bidi="ar"/>
        </w:rPr>
        <w:t xml:space="preserve">（小写）¥</w:t>
      </w:r>
      <w:r>
        <w:rPr>
          <w:rFonts w:hint="eastAsia" w:ascii="宋体" w:hAnsi="宋体" w:cs="宋体"/>
          <w:color w:val="000000"/>
          <w:sz w:val="21"/>
          <w:szCs w:val="21"/>
          <w:u w:val="single"/>
          <w:lang w:bidi="ar"/>
        </w:rPr>
        <w:t xml:space="preserve">       </w:t>
      </w:r>
      <w:r>
        <w:rPr>
          <w:rFonts w:hint="eastAsia" w:ascii="宋体" w:hAnsi="宋体" w:eastAsia="宋体" w:cs="宋体"/>
          <w:color w:val="000000"/>
          <w:sz w:val="21"/>
          <w:szCs w:val="21"/>
          <w:lang w:bidi="ar"/>
        </w:rPr>
        <w:t xml:space="preserve">元。合同总价款</w:t>
      </w:r>
      <w:r>
        <w:rPr>
          <w:rFonts w:hint="eastAsia" w:ascii="宋体" w:hAnsi="宋体" w:eastAsia="宋体" w:cs="宋体"/>
          <w:color w:val="000000"/>
          <w:sz w:val="21"/>
          <w:szCs w:val="21"/>
          <w:lang w:val="zh-CN"/>
        </w:rPr>
        <w:t xml:space="preserve">包括</w:t>
      </w:r>
      <w:r>
        <w:rPr>
          <w:rFonts w:hint="eastAsia" w:ascii="宋体" w:hAnsi="宋体" w:eastAsia="宋体" w:cs="宋体"/>
          <w:color w:val="000000"/>
          <w:sz w:val="21"/>
          <w:szCs w:val="21"/>
        </w:rPr>
        <w:t xml:space="preserve">包括全部标的物及其备品备件、</w:t>
      </w:r>
      <w:r>
        <w:rPr>
          <w:rFonts w:hint="eastAsia" w:ascii="宋体" w:hAnsi="宋体" w:eastAsia="宋体" w:cs="宋体"/>
          <w:color w:val="000000"/>
          <w:sz w:val="21"/>
          <w:szCs w:val="21"/>
          <w:lang w:val="zh-CN"/>
        </w:rPr>
        <w:t xml:space="preserve">部署费用、设备安装调试、日常运维、技术培训、系统升级等人工与技术服务费、材料、机械、管理、利润、税金、政策性文件规定及合同包含的所有风险、责任等一切费用。</w:t>
      </w:r>
      <w:r>
        <w:rPr>
          <w:rFonts w:hint="eastAsia" w:ascii="宋体" w:hAnsi="宋体" w:eastAsia="宋体" w:cs="宋体"/>
          <w:color w:val="000000"/>
          <w:sz w:val="21"/>
          <w:szCs w:val="21"/>
        </w:rPr>
        <w:t xml:space="preserve">同时，除非合同条款中另有规定，否则，乙方所报固定</w:t>
      </w:r>
      <w:r>
        <w:rPr>
          <w:rFonts w:hint="eastAsia" w:ascii="宋体" w:hAnsi="宋体" w:eastAsia="宋体" w:cs="宋体"/>
          <w:bCs/>
          <w:color w:val="000000"/>
          <w:sz w:val="21"/>
          <w:szCs w:val="21"/>
          <w:lang w:bidi="ar"/>
        </w:rPr>
        <w:t xml:space="preserve">折扣率</w:t>
      </w:r>
      <w:r>
        <w:rPr>
          <w:rFonts w:hint="eastAsia" w:ascii="宋体" w:hAnsi="宋体" w:eastAsia="宋体" w:cs="宋体"/>
          <w:color w:val="000000"/>
          <w:sz w:val="21"/>
          <w:szCs w:val="21"/>
        </w:rPr>
        <w:t xml:space="preserve">在合同实施期间不因市场变化因素而变动。</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cs="宋体"/>
          <w:bCs/>
          <w:color w:val="000000"/>
          <w:sz w:val="21"/>
          <w:szCs w:val="21"/>
        </w:rPr>
        <w:t xml:space="preserve">2</w:t>
      </w:r>
      <w:r>
        <w:rPr>
          <w:rFonts w:hint="eastAsia" w:ascii="宋体" w:hAnsi="宋体" w:cs="宋体"/>
          <w:bCs/>
          <w:color w:val="000000"/>
          <w:sz w:val="21"/>
          <w:szCs w:val="21"/>
          <w:lang w:val="en-US" w:eastAsia="zh-CN"/>
        </w:rPr>
        <w:t xml:space="preserve">.</w:t>
      </w:r>
      <w:r>
        <w:rPr>
          <w:rFonts w:hint="eastAsia" w:ascii="宋体" w:hAnsi="宋体" w:eastAsia="宋体" w:cs="宋体"/>
          <w:bCs/>
          <w:color w:val="000000"/>
          <w:sz w:val="21"/>
          <w:szCs w:val="21"/>
        </w:rPr>
        <w:t xml:space="preserve">根据现行税法对甲方征收的与本合同有关的一切税费均由甲方承担；根据现行税法对乙方征收的与本合同有关的一切税费均由乙方承担。</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3</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lang w:val="zh-CN"/>
        </w:rPr>
        <w:t xml:space="preserve">付款步骤及方式：</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w:t>
      </w:r>
      <w:r>
        <w:rPr>
          <w:rFonts w:hint="eastAsia" w:ascii="宋体" w:hAnsi="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）付款步骤：</w:t>
      </w:r>
      <w:bookmarkStart w:id="50" w:name="OLE_LINK2"/>
      <w:r>
        <w:rPr>
          <w:rFonts w:ascii="宋体" w:hAnsi="宋体" w:cs="宋体"/>
        </w:rPr>
      </w:r>
      <w:bookmarkStart w:id="51" w:name="OLE_LINK5"/>
      <w:r>
        <w:rPr>
          <w:rFonts w:ascii="宋体" w:hAnsi="宋体" w:cs="宋体"/>
        </w:rPr>
      </w:r>
      <w:bookmarkStart w:id="52" w:name="OLE_LINK7"/>
      <w:r>
        <w:rPr>
          <w:rFonts w:hint="eastAsia" w:ascii="宋体" w:hAnsi="宋体" w:eastAsia="宋体" w:cs="宋体"/>
          <w:color w:val="000000"/>
          <w:sz w:val="21"/>
          <w:szCs w:val="21"/>
          <w:highlight w:val="none"/>
        </w:rPr>
        <w:t xml:space="preserve">合同签订后，待项目硬件设备全部安装调试完成，且软件系统完成开发部署并经甲方确认后，甲方向乙方支付款项至合同总金额的50%；项目整体完成3个月试运行，且通过甲方组织的正式验收后，甲方向乙方支付款项至合同总金额的60%；项目进入送审流程，经审计机构审计并验收合格后，甲方向乙方支付款项至审计确认总金额的80%；自审计报告出具之日起满两年，且项目无重大质量问题的，甲方向乙方支付剩余款项，即支付至审计总金额的100%。</w:t>
      </w:r>
      <w:bookmarkEnd w:id="50"/>
      <w:r>
        <w:rPr>
          <w:rFonts w:ascii="宋体" w:hAnsi="宋体" w:cs="宋体"/>
        </w:rPr>
      </w:r>
      <w:bookmarkEnd w:id="51"/>
      <w:r>
        <w:rPr>
          <w:rFonts w:ascii="宋体" w:hAnsi="宋体" w:cs="宋体"/>
        </w:rPr>
      </w:r>
      <w:r/>
    </w:p>
    <w:p>
      <w:pPr>
        <w:pStyle w:val="859"/>
        <w:ind w:firstLine="420"/>
        <w:spacing w:line="440" w:lineRule="exact"/>
        <w:widowControl/>
        <w:tabs>
          <w:tab w:val="center" w:pos="5131" w:leader="none"/>
        </w:tabs>
        <w:rPr>
          <w:rFonts w:hint="eastAsia" w:ascii="宋体" w:hAnsi="宋体" w:cs="宋体"/>
          <w:color w:val="000000"/>
          <w:sz w:val="21"/>
          <w:szCs w:val="21"/>
        </w:rPr>
      </w:pPr>
      <w:r>
        <w:rPr>
          <w:rFonts w:ascii="宋体" w:hAnsi="宋体" w:cs="宋体"/>
        </w:rPr>
      </w:r>
      <w:bookmarkEnd w:id="52"/>
      <w:r>
        <w:rPr>
          <w:rFonts w:hint="eastAsia" w:ascii="宋体" w:hAnsi="宋体" w:eastAsia="宋体" w:cs="宋体"/>
          <w:color w:val="000000"/>
          <w:sz w:val="21"/>
          <w:szCs w:val="21"/>
        </w:rPr>
        <w:t xml:space="preserve">甲方付款前，乙方需向甲方出具合法有效的发票，否则甲方有权拒绝付款，且不就此承担逾期付款的违约责任。​</w:t>
      </w:r>
      <w:r>
        <w:rPr>
          <w:rFonts w:ascii="宋体" w:hAnsi="宋体" w:cs="宋体"/>
        </w:rPr>
      </w:r>
      <w:r/>
    </w:p>
    <w:p>
      <w:pPr>
        <w:pStyle w:val="859"/>
        <w:ind w:firstLine="420"/>
        <w:spacing w:line="440" w:lineRule="exact"/>
        <w:widowControl/>
        <w:tabs>
          <w:tab w:val="center" w:pos="5131"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（2）付款方式：银行转账。</w:t>
      </w:r>
      <w:r>
        <w:rPr>
          <w:rFonts w:ascii="宋体" w:hAnsi="宋体" w:cs="宋体"/>
        </w:rPr>
      </w:r>
      <w:r/>
    </w:p>
    <w:p>
      <w:pPr>
        <w:pStyle w:val="859"/>
        <w:ind w:firstLine="420"/>
        <w:spacing w:line="440" w:lineRule="exact"/>
        <w:widowControl/>
        <w:tabs>
          <w:tab w:val="center" w:pos="5131"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w:t>
      </w:r>
      <w:r>
        <w:rPr>
          <w:rFonts w:hint="eastAsia" w:ascii="宋体" w:hAnsi="宋体" w:cs="宋体"/>
          <w:color w:val="000000"/>
          <w:sz w:val="21"/>
          <w:szCs w:val="21"/>
        </w:rPr>
        <w:t xml:space="preserve">3</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支付主体：230省道吴江收费站、258省道桃源收费站分别按对应站点的项目金额向乙方支付费用。</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4、甲方除支付本合同约定费用外，不再承担其他任何费用。</w:t>
      </w:r>
      <w:r>
        <w:rPr>
          <w:rFonts w:ascii="宋体" w:hAnsi="宋体" w:cs="宋体"/>
        </w:rPr>
      </w:r>
      <w:r/>
    </w:p>
    <w:p>
      <w:pPr>
        <w:pStyle w:val="859"/>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三、验收标准与流程</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1.验收依据：以招标文件、投标文件、最终签订的合同以及乙方承诺的其他指标为依据，对乙方提供的各项服务内容的完成质量与效果进行全面核查，确保符合上述文件及标准中明确的各项要求。</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2.验收流程：</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（1）乙方完成系统部署及功能测试后，向甲方提交试运行申请，经甲方同意后启动3个月试运行；</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（2）试运行期间，乙方需及时修复故障、调整系统，试运行结束后向甲方提交全套交付物（含设备清单、软件源代码、技术文档、培训记录等）；</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（3）甲方组织验收小组，对系统功能（如移动支付对账、电子票据开具/下载、数据上传）、设备性能、文档完整性进行核查，出具《验收报告》；</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（4）若验收不合格（如系统功能不达标、存在潜在缺陷），甲方出具《整改通知书》，乙方需在通知书限定时间内整改，整改费用由乙方承担；若整改后仍不合格，甲方有权解除合同并要求乙方赔偿损失。</w:t>
      </w:r>
      <w:r>
        <w:rPr>
          <w:rFonts w:ascii="宋体" w:hAnsi="宋体" w:cs="宋体"/>
        </w:rPr>
      </w:r>
      <w:r/>
    </w:p>
    <w:p>
      <w:pPr>
        <w:pStyle w:val="859"/>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四、甲方权利和义务  </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1.权利：</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（1）依据本合同及招标文件，对乙方的设备质量、软件功能、服务进度、运维效果进行监管和验收；</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（2）若乙方存在转包/违法分包项目、擅自降低服务标准、逾期未完成项目、泄露数据等情形，有权解除合同并要求乙方承担违约责任；</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（3）在乙方安装调试期间，有权派出技术人员参与监督，提出合理修改建议。</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2.义务：</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（1）向乙方提供项目实施所需的基础条件（如作业场地、用电接口、站点原有系统数据）；</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（2）按本合同约定及时支付款项（乙方未提供合规发票除外）；</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（3）配合乙方完成省联网中心纸改电票据管理服务平台接入、账户注册等工作，提供必要的行政协调支持。</w:t>
      </w:r>
      <w:r>
        <w:rPr>
          <w:rFonts w:ascii="宋体" w:hAnsi="宋体" w:cs="宋体"/>
        </w:rPr>
      </w:r>
      <w:r/>
    </w:p>
    <w:p>
      <w:pPr>
        <w:pStyle w:val="859"/>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五、乙方权利和义务</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1.权利：</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（1）按本合同约定收取项目款项；</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（2）要求甲方提供项目实施所需的基础条件及数据支持，若甲方延迟提供导致项目逾期，乙方不承担责任。</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2.义务：</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（1）组建项目团队：成立不少于6人的专项实施团队（含1名项目负责人、1名技术负责人），团队成员需具备相关经验，且项目负责人、技术负责人需在系统调试期间全程在场；</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设备与软件交付：①提供符合招标文件“服务配套资源清单”参数要求的设备，确保设备为全新、合格产品，提供设备合格证、质保证明；②完成软件开发，确保功能符合要求，并向甲方提交完整的软件架构文档、用户手册。</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（3）运维服务：①质保期：230省道吴江收费站硬件质保期≥2年、软件运维服务1年；258 省道桃源收费站硬件质保期≥2年、软件运维服务2年（均自项目整体验收合格之日起算）；②故障响应：硬件故障（非人为/自然灾害导致）需12小时内提供替代设备并完成更换调试；软件故障1小时内远程响应，一般问题2小时内解决，远程无法解决的12小时内派人到场。</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（4）培训与文档：①项目验收合格后，组织1次专项培训，提供中文培训教材，确保甲方人员熟练操作系统；②提交全套技术文档（含工作说明书、用户手册、维护手册、验收报告、审计所需资料）。</w:t>
      </w:r>
      <w:r>
        <w:rPr>
          <w:rFonts w:ascii="宋体" w:hAnsi="宋体" w:cs="宋体"/>
        </w:rPr>
      </w:r>
      <w:r/>
    </w:p>
    <w:p>
      <w:pPr>
        <w:pStyle w:val="859"/>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六、安全责任</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1.乙方对项目实施期间（含设备运输、安装调试、运维服务）的安全负全部责任，对工作人员进行安全培训，配备劳动保护用品。</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2.乙方在作业过程中发生人员伤亡、设备损坏，或造成第三方人身/财产损失的，由乙方承担全部责任及费用（如医疗赔偿、设备维修费用）。</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3.安装调试期间不得影响甲方正常收费秩序，若因乙方操作导致收费站拥堵或业务中断，乙方需承担由此产生的损失。</w:t>
      </w:r>
      <w:r>
        <w:rPr>
          <w:rFonts w:ascii="宋体" w:hAnsi="宋体" w:cs="宋体"/>
        </w:rPr>
      </w:r>
      <w:r/>
    </w:p>
    <w:p>
      <w:pPr>
        <w:pStyle w:val="859"/>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lang w:val="zh-CN"/>
        </w:rPr>
        <w:t xml:space="preserve">七、违约责任</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1.乙方违约：</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（1）转包/违法分包项目：甲方有权终止合同，乙方需退还已收款项，并支付合同总价款10%的违约金；</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（2）逾期完成项目：每逾期1日，按合同总价款的0.5%支付违约金；逾期超过30日，甲方有权解除合同，乙方赔偿甲方损失；</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设备/软件不达标：设备参数不符合招标文件要求的，乙方需无条件更换；软件功能不达标导致无法正常使用的，乙方需在15日内整改，整改仍不合格的，甲方有权解除合同，乙方退还已收款项并支付合同总价款15%的违约金；</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（4）运维违约：未按约定响应故障或提供运维服务，导致系统中断超过24小时的，每逾期1日按当期服务费的0.5%支付违约金；</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2.甲方违约：</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（1）逾期付款（乙方已提供合规发票且无正当理由）：每逾期1日，按逾期付款金额的0.05%支付违约金；</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（2）未按约定提供基础条件导致项目逾期：需承担乙方由此产生的合理损失（如设备仓储费），但不承担项目逾期违约金。</w:t>
      </w:r>
      <w:r>
        <w:rPr>
          <w:rFonts w:ascii="宋体" w:hAnsi="宋体" w:cs="宋体"/>
        </w:rPr>
      </w:r>
      <w:r/>
    </w:p>
    <w:p>
      <w:pPr>
        <w:pStyle w:val="859"/>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lang w:val="zh-CN"/>
        </w:rPr>
        <w:t xml:space="preserve">八、不可抗力</w:t>
      </w:r>
      <w:r>
        <w:rPr>
          <w:rFonts w:ascii="宋体" w:hAnsi="宋体" w:cs="宋体"/>
        </w:rPr>
      </w:r>
      <w:r/>
    </w:p>
    <w:p>
      <w:pPr>
        <w:pStyle w:val="859"/>
        <w:ind w:firstLine="42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1.因不可抗力（指不能预见、不能避免且不能克服的客观情况，如地震、台风、战争）导致不能履行合同的，受影响一方需及时通知对方，提供不可抗力证明，并根据影响程度部分或全部免除责任；但迟延履行后发生不可抗力的，不能免除责任。</w:t>
      </w:r>
      <w:r>
        <w:rPr>
          <w:rFonts w:ascii="宋体" w:hAnsi="宋体" w:cs="宋体"/>
        </w:rPr>
      </w:r>
      <w:r/>
    </w:p>
    <w:p>
      <w:pPr>
        <w:pStyle w:val="859"/>
        <w:ind w:firstLine="42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2.合同一方因不可抗力不能履行合同的，应当及时通知对方，以减轻可能给对方造成的损失，并应当在合理期限内提供证明。</w:t>
      </w:r>
      <w:r>
        <w:rPr>
          <w:rFonts w:ascii="宋体" w:hAnsi="宋体" w:cs="宋体"/>
        </w:rPr>
      </w:r>
      <w:r/>
    </w:p>
    <w:p>
      <w:pPr>
        <w:pStyle w:val="859"/>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九、合同转让和修改</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1、政府采购合同的部分和全部都不得转让。</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2、甲方和乙方都不得擅自变更本合同，但合同继续履行将损害国家和社会公共利益的除外。如必须对合同条款进行改动时，当事人双方须共同签署书面文件，做为合同的补充。</w:t>
      </w:r>
      <w:r>
        <w:rPr>
          <w:rFonts w:ascii="宋体" w:hAnsi="宋体" w:cs="宋体"/>
        </w:rPr>
      </w:r>
      <w:r/>
    </w:p>
    <w:p>
      <w:pPr>
        <w:pStyle w:val="859"/>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十、合同的解除</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cs="宋体"/>
          <w:bCs/>
          <w:color w:val="000000"/>
          <w:sz w:val="21"/>
          <w:szCs w:val="21"/>
          <w:lang w:val="zh-CN"/>
        </w:rPr>
        <w:t xml:space="preserve">1</w:t>
      </w:r>
      <w:r>
        <w:rPr>
          <w:rFonts w:hint="eastAsia" w:ascii="宋体" w:hAnsi="宋体" w:cs="宋体"/>
          <w:bCs/>
          <w:color w:val="000000"/>
          <w:sz w:val="21"/>
          <w:szCs w:val="21"/>
        </w:rPr>
        <w:t xml:space="preserve">.</w:t>
      </w:r>
      <w:r>
        <w:rPr>
          <w:rFonts w:hint="eastAsia" w:ascii="宋体" w:hAnsi="宋体" w:eastAsia="宋体" w:cs="宋体"/>
          <w:bCs/>
          <w:color w:val="000000"/>
          <w:sz w:val="21"/>
          <w:szCs w:val="21"/>
          <w:lang w:val="zh-CN"/>
        </w:rPr>
        <w:t xml:space="preserve">有下列情形之一，合同一方可以解除合同：</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val="zh-CN"/>
        </w:rPr>
        <w:t xml:space="preserve">（1）因不可抗力致使不能实现合同目的，未受不可抗力影响的一方有权解除合同；</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val="zh-CN"/>
        </w:rPr>
        <w:t xml:space="preserve">（2）因合同一方违约导致合同不能履行，另一方有权解除合同；</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cs="宋体"/>
          <w:bCs/>
          <w:color w:val="000000"/>
          <w:sz w:val="21"/>
          <w:szCs w:val="21"/>
        </w:rPr>
        <w:t xml:space="preserve">2.</w:t>
      </w:r>
      <w:r>
        <w:rPr>
          <w:rFonts w:hint="eastAsia" w:ascii="宋体" w:hAnsi="宋体" w:eastAsia="宋体" w:cs="宋体"/>
          <w:bCs/>
          <w:color w:val="000000"/>
          <w:sz w:val="21"/>
          <w:szCs w:val="21"/>
          <w:lang w:val="zh-CN"/>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bidi="ar"/>
        </w:rPr>
        <w:t xml:space="preserve">双方一致同意以本协议所列地址及其他常用通讯地址为双方沟通函件、法律文书的送达地址，信件交邮后若因非发件人过错原因造成的无法送达，则以文书退回之日视为送达之日。</w:t>
      </w:r>
      <w:r>
        <w:rPr>
          <w:rFonts w:ascii="宋体" w:hAnsi="宋体" w:cs="宋体"/>
        </w:rPr>
      </w:r>
      <w:r/>
    </w:p>
    <w:p>
      <w:pPr>
        <w:pStyle w:val="859"/>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lang w:bidi="ar"/>
        </w:rPr>
        <w:t xml:space="preserve">十一、争议解决办法</w:t>
      </w:r>
      <w:r>
        <w:rPr>
          <w:rFonts w:ascii="宋体" w:hAnsi="宋体" w:cs="宋体"/>
        </w:rPr>
      </w:r>
      <w:r/>
    </w:p>
    <w:p>
      <w:pPr>
        <w:pStyle w:val="859"/>
        <w:ind w:firstLine="420"/>
        <w:spacing w:line="440" w:lineRule="exact"/>
        <w:tabs>
          <w:tab w:val="left" w:pos="360" w:leader="none"/>
        </w:tabs>
        <w:rPr>
          <w:rFonts w:hint="eastAsia" w:ascii="宋体" w:hAnsi="宋体" w:cs="宋体"/>
          <w:color w:val="000000"/>
          <w:sz w:val="21"/>
          <w:szCs w:val="21"/>
        </w:rPr>
      </w:pPr>
      <w:r>
        <w:rPr>
          <w:rFonts w:hint="eastAsia" w:ascii="宋体" w:hAnsi="宋体" w:eastAsia="宋体" w:cs="宋体"/>
          <w:color w:val="000000"/>
          <w:sz w:val="21"/>
          <w:szCs w:val="21"/>
          <w:lang w:bidi="ar"/>
        </w:rPr>
        <w:t xml:space="preserve">因本合同或与本合同有关的一切事项发生争议，由双方友好协商解决。协商不成的，任何一方均可向甲方所在地的人民法院起诉。因乙方违约或乙方追究甲方违约但不成立，导致甲方为处理此纠纷产生的费用由乙方承担，该费用包括但不限于诉讼费、保全费、鉴定费、执行费、律师费、差旅费等。</w:t>
      </w:r>
      <w:r>
        <w:rPr>
          <w:rFonts w:ascii="宋体" w:hAnsi="宋体" w:cs="宋体"/>
        </w:rPr>
      </w:r>
      <w:r/>
    </w:p>
    <w:p>
      <w:pPr>
        <w:pStyle w:val="859"/>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十二、合同生效及其他</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1、合同经招标代理机构加盖骑缝章，甲、乙双方法定代表人或其委托代理人签字并加盖公章（或合同章）、骑缝章后生效，生效合同签订之日起2个工作日内进行网上系统公示。</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2、本合同文件使用中文书写、解释和说明。</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3、合同在执行过程中出现的未尽事宜，双方在不违背本合同和招标文件的原则下协商解决，协商结果以书面形式盖章记录在案，作为本合同的附件，与本合同具有同等效力；</w:t>
      </w:r>
      <w:r>
        <w:rPr>
          <w:rFonts w:hint="eastAsia" w:ascii="宋体" w:hAnsi="宋体" w:eastAsia="宋体" w:cs="宋体"/>
          <w:color w:val="000000"/>
          <w:sz w:val="21"/>
          <w:szCs w:val="21"/>
          <w:lang w:val="zh-CN"/>
        </w:rPr>
        <w:t xml:space="preserve">经双方签字并加盖公章后生效；补充协议之间如存在冲突的，应以最新签订的为准。</w:t>
      </w:r>
      <w:r>
        <w:rPr>
          <w:rFonts w:ascii="宋体" w:hAnsi="宋体" w:cs="宋体"/>
        </w:rPr>
      </w:r>
      <w:r/>
    </w:p>
    <w:p>
      <w:pPr>
        <w:pStyle w:val="859"/>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十三、未尽事宜</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未尽事宜应按照《中华人民共和国民法典》、《中华人民共和国政府采购法》等相关法律法规之规定解释。</w:t>
      </w:r>
      <w:r>
        <w:rPr>
          <w:rFonts w:ascii="宋体" w:hAnsi="宋体" w:cs="宋体"/>
        </w:rPr>
      </w:r>
      <w:r/>
    </w:p>
    <w:p>
      <w:pPr>
        <w:pStyle w:val="859"/>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十四、附则</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本合同一式</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份，甲方执</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份，乙方执</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份，政府采购监督管理部门备案，采购代理机构一份。</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trHeight w:val="442"/>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甲方（盖章）：</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乙方（盖章）：</w:t>
            </w:r>
            <w:r>
              <w:rPr>
                <w:rFonts w:ascii="宋体" w:hAnsi="宋体" w:cs="宋体"/>
              </w:rPr>
            </w:r>
            <w:r/>
          </w:p>
        </w:tc>
      </w:tr>
      <w:tr>
        <w:trPr>
          <w:trHeight w:val="459"/>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法定（授权）代表人（签字）：</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法定（授权）代表人（签字）：</w:t>
            </w:r>
            <w:r>
              <w:rPr>
                <w:rFonts w:ascii="宋体" w:hAnsi="宋体" w:cs="宋体"/>
              </w:rPr>
            </w:r>
            <w:r/>
          </w:p>
        </w:tc>
      </w:tr>
      <w:tr>
        <w:trPr>
          <w:trHeight w:val="442"/>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电话：</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电话：</w:t>
            </w:r>
            <w:r>
              <w:rPr>
                <w:rFonts w:ascii="宋体" w:hAnsi="宋体" w:cs="宋体"/>
              </w:rPr>
            </w:r>
            <w:r/>
          </w:p>
        </w:tc>
      </w:tr>
      <w:tr>
        <w:trPr>
          <w:trHeight w:val="459"/>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日期：</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开户银行：</w:t>
            </w:r>
            <w:r>
              <w:rPr>
                <w:rFonts w:ascii="宋体" w:hAnsi="宋体" w:cs="宋体"/>
              </w:rPr>
            </w:r>
            <w:r/>
          </w:p>
        </w:tc>
      </w:tr>
      <w:tr>
        <w:trPr>
          <w:trHeight w:val="234"/>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9"/>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帐号：</w:t>
            </w:r>
            <w:r>
              <w:rPr>
                <w:rFonts w:ascii="宋体" w:hAnsi="宋体" w:cs="宋体"/>
              </w:rPr>
            </w:r>
            <w:r/>
          </w:p>
        </w:tc>
      </w:tr>
      <w:tr>
        <w:trPr>
          <w:trHeight w:val="234"/>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9"/>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日期：</w:t>
            </w:r>
            <w:r>
              <w:rPr>
                <w:rFonts w:ascii="宋体" w:hAnsi="宋体" w:cs="宋体"/>
              </w:rPr>
            </w:r>
            <w:r/>
          </w:p>
        </w:tc>
      </w:tr>
    </w:tbl>
    <w:p>
      <w:pPr>
        <w:pStyle w:val="859"/>
        <w:jc w:val="center"/>
        <w:spacing w:before="166" w:line="440" w:lineRule="exact"/>
        <w:rPr>
          <w:rFonts w:ascii="宋体" w:hAnsi="宋体" w:cs="宋体"/>
          <w:b/>
          <w:bCs/>
          <w:color w:val="000000"/>
          <w:sz w:val="44"/>
          <w:szCs w:val="44"/>
        </w:rPr>
      </w:pPr>
      <w:r>
        <w:rPr>
          <w:rFonts w:ascii="宋体" w:hAnsi="宋体" w:cs="宋体"/>
          <w:b/>
          <w:bCs/>
          <w:color w:val="000000"/>
        </w:rPr>
        <w:br w:type="page" w:clear="all"/>
      </w:r>
      <w:bookmarkStart w:id="53" w:name="_Toc414602017"/>
      <w:r>
        <w:rPr>
          <w:rFonts w:hint="eastAsia" w:ascii="宋体" w:hAnsi="宋体" w:eastAsia="宋体" w:cs="宋体"/>
          <w:b/>
          <w:bCs/>
          <w:color w:val="000000"/>
          <w:sz w:val="44"/>
          <w:szCs w:val="44"/>
        </w:rPr>
        <w:t xml:space="preserve">第六章</w:t>
      </w:r>
      <w:r>
        <w:rPr>
          <w:rFonts w:ascii="宋体" w:hAnsi="宋体" w:cs="宋体"/>
          <w:b/>
          <w:bCs/>
          <w:color w:val="000000"/>
          <w:sz w:val="44"/>
          <w:szCs w:val="44"/>
        </w:rPr>
        <w:t xml:space="preserve"> </w:t>
      </w:r>
      <w:bookmarkStart w:id="54" w:name="评标方法及评分要点"/>
      <w:r>
        <w:rPr>
          <w:rFonts w:hint="eastAsia" w:ascii="宋体" w:hAnsi="宋体" w:eastAsia="宋体" w:cs="宋体"/>
          <w:b/>
          <w:bCs/>
          <w:color w:val="000000"/>
          <w:sz w:val="44"/>
          <w:szCs w:val="44"/>
        </w:rPr>
        <w:t xml:space="preserve">评标方法及评分要点</w:t>
      </w:r>
      <w:bookmarkEnd w:id="53"/>
      <w:r>
        <w:rPr>
          <w:rFonts w:ascii="宋体" w:hAnsi="宋体" w:cs="宋体"/>
        </w:rPr>
      </w:r>
      <w:bookmarkEnd w:id="54"/>
      <w:r>
        <w:rPr>
          <w:rFonts w:ascii="宋体" w:hAnsi="宋体" w:cs="宋体"/>
        </w:rPr>
      </w:r>
      <w:r/>
    </w:p>
    <w:p>
      <w:pPr>
        <w:pStyle w:val="859"/>
        <w:spacing w:line="440" w:lineRule="exact"/>
        <w:rPr>
          <w:rFonts w:hint="eastAsia" w:ascii="宋体" w:hAnsi="宋体" w:cs="宋体"/>
          <w:b/>
          <w:bCs/>
          <w:color w:val="000000"/>
          <w:sz w:val="21"/>
          <w:szCs w:val="21"/>
        </w:rPr>
      </w:pPr>
      <w:r>
        <w:rPr>
          <w:rFonts w:ascii="宋体" w:hAnsi="宋体" w:cs="宋体"/>
          <w:b/>
          <w:bCs/>
          <w:color w:val="000000"/>
          <w:sz w:val="21"/>
          <w:szCs w:val="21"/>
        </w:rPr>
        <w:t xml:space="preserve">   </w:t>
      </w:r>
      <w:r>
        <w:rPr>
          <w:rFonts w:hint="eastAsia" w:ascii="宋体" w:hAnsi="宋体" w:eastAsia="宋体" w:cs="宋体"/>
          <w:b/>
          <w:bCs/>
          <w:color w:val="000000"/>
          <w:sz w:val="21"/>
          <w:szCs w:val="21"/>
        </w:rPr>
        <w:t xml:space="preserve">                                     一、评标办法</w:t>
      </w:r>
      <w:r>
        <w:rPr>
          <w:rFonts w:ascii="宋体" w:hAnsi="宋体" w:cs="宋体"/>
        </w:rPr>
      </w:r>
      <w:r/>
    </w:p>
    <w:p>
      <w:pPr>
        <w:pStyle w:val="859"/>
        <w:numPr>
          <w:ilvl w:val="0"/>
          <w:numId w:val="7"/>
        </w:numPr>
        <w:spacing w:line="440" w:lineRule="exact"/>
        <w:tabs>
          <w:tab w:val="left" w:pos="42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本次招标评标采用为综合评分法，即在满足招标文件实质性要求前提下，按照招标文件中规定的评分标准和各项因素进行综合评审后，以评标总得分最高的投标人作为中标候选人。</w:t>
      </w:r>
      <w:r>
        <w:rPr>
          <w:rFonts w:ascii="宋体" w:hAnsi="宋体" w:cs="宋体"/>
        </w:rPr>
      </w:r>
      <w:r/>
    </w:p>
    <w:p>
      <w:pPr>
        <w:pStyle w:val="859"/>
        <w:numPr>
          <w:ilvl w:val="0"/>
          <w:numId w:val="7"/>
        </w:numPr>
        <w:spacing w:line="440" w:lineRule="exact"/>
        <w:tabs>
          <w:tab w:val="left" w:pos="42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评标委员会各成员独立对每个进入打分程序的有效投标人的投标报价、技术文件及资格证明文件三部分内容按百分制打分（计算结果均四舍五入保留两位小数），资格证明文件包括财务状况、信誉、业绩、服务、对招标文件的响应程度。</w:t>
      </w:r>
      <w:r>
        <w:rPr>
          <w:rFonts w:ascii="宋体" w:hAnsi="宋体" w:cs="宋体"/>
        </w:rPr>
      </w:r>
      <w:r/>
    </w:p>
    <w:p>
      <w:pPr>
        <w:pStyle w:val="859"/>
        <w:numPr>
          <w:ilvl w:val="0"/>
          <w:numId w:val="7"/>
        </w:numPr>
        <w:spacing w:line="440" w:lineRule="exact"/>
        <w:tabs>
          <w:tab w:val="left" w:pos="42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如出现评标总得分最高的投标人有两个或两个以上的，以实际投标报价较低者优先作为中标候选人，如果实际投标报价也相同的，则由招标采购单位以抽签方式确定中标候选人。</w:t>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                                       二、</w:t>
      </w:r>
      <w:r>
        <w:rPr>
          <w:rFonts w:hint="eastAsia" w:ascii="宋体" w:hAnsi="宋体" w:eastAsia="宋体" w:cs="宋体"/>
          <w:b/>
          <w:bCs/>
          <w:color w:val="000000"/>
          <w:sz w:val="21"/>
          <w:szCs w:val="21"/>
        </w:rPr>
        <w:t xml:space="preserve">综合</w:t>
      </w:r>
      <w:r>
        <w:rPr>
          <w:rFonts w:hint="eastAsia" w:ascii="宋体" w:hAnsi="宋体" w:eastAsia="宋体" w:cs="宋体"/>
          <w:b/>
          <w:bCs/>
          <w:color w:val="000000"/>
          <w:sz w:val="21"/>
          <w:szCs w:val="21"/>
        </w:rPr>
        <w:t xml:space="preserve">评分标准</w:t>
      </w:r>
      <w:r>
        <w:rPr>
          <w:rFonts w:ascii="宋体" w:hAnsi="宋体" w:cs="宋体"/>
        </w:rPr>
      </w:r>
      <w:r/>
    </w:p>
    <w:p>
      <w:pPr>
        <w:pStyle w:val="859"/>
        <w:numPr>
          <w:ilvl w:val="0"/>
          <w:numId w:val="8"/>
        </w:numPr>
        <w:spacing w:line="440" w:lineRule="exact"/>
        <w:tabs>
          <w:tab w:val="left" w:pos="42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本次招标的评标方法采用综合评估方法，并以评分方法进行评估，总分值为100分，评审因素及各比重如下：价格分值占总分值的比重为15%（权重），技术与质量及其它占85%（权重）。</w:t>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（一）报价得分（15分）</w:t>
      </w:r>
      <w:r>
        <w:rPr>
          <w:rFonts w:ascii="宋体" w:hAnsi="宋体" w:cs="宋体"/>
        </w:rPr>
      </w:r>
      <w:r/>
    </w:p>
    <w:p>
      <w:pPr>
        <w:pStyle w:val="859"/>
        <w:numPr>
          <w:ilvl w:val="0"/>
          <w:numId w:val="9"/>
        </w:numPr>
        <w:spacing w:line="440" w:lineRule="exact"/>
        <w:tabs>
          <w:tab w:val="left" w:pos="42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投标报价低于或等于采购预算价格（最高限价）的，为有效投标报价。超采购预算（最高限价）的投标报价为无效投标报价。无效投标报价的投标文件不进行评审，也不得标。</w:t>
      </w:r>
      <w:r>
        <w:rPr>
          <w:rFonts w:ascii="宋体" w:hAnsi="宋体" w:cs="宋体"/>
        </w:rPr>
      </w:r>
      <w:r/>
    </w:p>
    <w:p>
      <w:pPr>
        <w:pStyle w:val="859"/>
        <w:numPr>
          <w:ilvl w:val="0"/>
          <w:numId w:val="9"/>
        </w:numPr>
        <w:spacing w:line="440" w:lineRule="exact"/>
        <w:tabs>
          <w:tab w:val="left" w:pos="42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价格得分计算方法：根据各投标人通过符合性审查的有效投标报价中的最低价作为评标基准价。其他投标人的价格分按照下列公式计算（计算结果四舍五入保留两位小数）</w:t>
      </w:r>
      <w:r>
        <w:rPr>
          <w:rFonts w:ascii="宋体" w:hAnsi="宋体" w:cs="宋体"/>
        </w:rPr>
      </w:r>
      <w:r/>
    </w:p>
    <w:p>
      <w:pPr>
        <w:pStyle w:val="859"/>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投标报价得分=（评标基准价/投标报价）×价格权值×100，小数点后保留两位。</w:t>
      </w:r>
      <w:r>
        <w:rPr>
          <w:rFonts w:ascii="宋体" w:hAnsi="宋体" w:cs="宋体"/>
        </w:rPr>
      </w:r>
      <w:r/>
    </w:p>
    <w:p>
      <w:pPr>
        <w:pStyle w:val="859"/>
        <w:spacing w:line="440" w:lineRule="exact"/>
        <w:rPr>
          <w:rFonts w:hint="eastAsia" w:ascii="宋体" w:hAnsi="宋体" w:cs="宋体"/>
          <w:b/>
          <w:bCs/>
          <w:color w:val="000000"/>
          <w:sz w:val="21"/>
          <w:szCs w:val="21"/>
        </w:rPr>
      </w:pPr>
      <w:r>
        <w:rPr>
          <w:rFonts w:ascii="宋体" w:hAnsi="宋体" w:cs="宋体"/>
        </w:rPr>
      </w:r>
      <w:bookmarkStart w:id="55" w:name="_Toc45895197"/>
      <w:r>
        <w:rPr>
          <w:rFonts w:ascii="宋体" w:hAnsi="宋体" w:cs="宋体"/>
        </w:rPr>
      </w:r>
      <w:bookmarkStart w:id="56" w:name="_Toc45883335"/>
      <w:r>
        <w:rPr>
          <w:rFonts w:ascii="宋体" w:hAnsi="宋体" w:cs="宋体"/>
        </w:rPr>
      </w:r>
      <w:bookmarkStart w:id="57" w:name="_Toc45368395"/>
      <w:r>
        <w:rPr>
          <w:rFonts w:hint="eastAsia" w:ascii="宋体" w:hAnsi="宋体" w:eastAsia="宋体" w:cs="宋体"/>
          <w:b/>
          <w:bCs/>
          <w:color w:val="000000"/>
          <w:sz w:val="21"/>
          <w:szCs w:val="21"/>
        </w:rPr>
        <w:t xml:space="preserve">（二）技术服务方案（60分）</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1.项目需求理解方案（9分）</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根据投标单位提供的项目需求理解方案（包括但不限于项目背景、重点任务要求等）进行综合比较，方案完整度高、科学合理性强、专业性强、可行性高的得9分；方案完整度一般、科学合理性一般、专业性一般、可行性一般的得6分；方案完整度较差、科学合理性较差、专业性较差、可行性较差的得3分；未提供的不得分。</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2.技术方案（12分）</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根据投标单位提供技术方案的完整性与可行性进行综合比较，方案全面覆盖核心需求（移动支付、电子票据、牌识升级），技术路线清晰成熟，细节详实，支撑系统（网络/硬件）规划合理充分，可行性极高的得12分；方案覆盖主要需求，技术路线合理，关键细节较明确，支撑系统规划基本合理可行的得9分；方案部分覆盖需求，技术描述模糊或存在疑问点，支撑系统规划欠充分或论证不足的得6分；方案严重缺失核心技术内容，技术路线不可行或存在重大缺陷，支撑系统规划无法满足需求的得3分；未提供的不得分。</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3.实施计划与组织管理（12分）</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根据投标单位提供的实施计划与组织管理方案进行综合比较，项目分解细致科学，资源配置充分匹配，进度计划详尽严谨，质量与测试方案系统完备，可执行性强的得12分；项目分解合理，资源配置满足基本要求，进度计划明确，质量与测试方案考虑较周全，具备可行性的得9分；项目分解较粗，资源配置或进度/里程碑计划存在明显不足，质量与测试方案简略或覆盖不全的得6分；项目计划混乱或严重缺失，质量与测试要求模糊不可行的得3分；未提供的不得分。 </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4.风险管控与新旧过渡措施（12分）</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根据投标单位提供风险管控与新旧过渡措施进行综合比较，风险识别全面，应对措施具体有力；割接方案周密，过渡期验证设计合理；整体风险管控能力强的得12分；识别主要风险，有对应的预防和应急措施；割接方案基本可行，有过渡期安排；风险管控较有效的得9分；风险分析较粗浅，措施不够具体；割接方案简略，过渡安排考虑不周；风险管控能力一般的得6分；风险识别严重缺失或不处理，割接方案缺失或不可行，无过渡期验证计划，风险极高的得3分；未提供的不得分。 </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5.技术培训方案（5分）</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根据投标单位提供的技术培训方案进行综合比较，技术培训方案叙述详尽、内容全面、计划合理、形式多样、措施得当；针对性强的得5分；培训方案叙述简略、内容不够全面、计划欠合理、形式较单一、措施不够具体；针对性不强；师资力量一般，培训经验不足；整体培训能力一般的得3分；培训方案叙述缺失或不详尽、内容不全或错误、计划不合理或缺失、形式单一、措施不得当或缺失；无针对性；师资力量薄弱，无培训经验；整体培训能力差，风险高的得1分；未提供的不得分。</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6.应急保障方案（5分）</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根据投标单位提供的应急保障方案（包括但不限于应急管理体系、应急方案等）进行综合比较，方案完整度高、科学合理性强、专业性强、可行性高的得5分；方案完整度一般、科学合理性一般、专业性一般、可行性一般的得3分；方案完整度较差、科学合理性较差、专业性较差、可行性较差的得1分；未提供的不得分。</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7.售后服务方案（5分）</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根据投标单位提供的售后服务方案（包括但不限于售后服务体系、售后服务机构设置、整体保障方案、售后服务响应承诺等）进行综合比较，方案完整度高、科学合理性强、专业性强、可行性高的得5分；方案完整度一般、科学合理性一般、专业性一般、可行性一般的得3分；方案完整度较差、科学合理性较差、专业性较差、可行性较差的得1分；未提供的不得分。</w:t>
      </w:r>
      <w:r>
        <w:rPr>
          <w:rFonts w:ascii="宋体" w:hAnsi="宋体" w:cs="宋体"/>
        </w:rPr>
      </w:r>
      <w:r/>
    </w:p>
    <w:p>
      <w:pPr>
        <w:pStyle w:val="859"/>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（三）针对本项目配套服务设备</w:t>
      </w:r>
      <w:r>
        <w:rPr>
          <w:rFonts w:hint="eastAsia" w:ascii="宋体" w:hAnsi="宋体" w:eastAsia="宋体" w:cs="宋体"/>
          <w:b/>
          <w:bCs/>
          <w:color w:val="000000"/>
          <w:sz w:val="21"/>
          <w:szCs w:val="21"/>
          <w:lang w:val="zh-CN"/>
        </w:rPr>
        <w:t xml:space="preserve">选型情况比较</w:t>
      </w:r>
      <w:r>
        <w:rPr>
          <w:rFonts w:hint="eastAsia" w:ascii="宋体" w:hAnsi="宋体" w:eastAsia="宋体" w:cs="宋体"/>
          <w:b/>
          <w:bCs/>
          <w:color w:val="000000"/>
          <w:sz w:val="21"/>
          <w:szCs w:val="21"/>
        </w:rPr>
        <w:t xml:space="preserve">（15分）</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1、所选配套服务设备（包括产品技术参数、产品性能等）情况比较（15分）</w:t>
      </w:r>
      <w:r>
        <w:rPr>
          <w:rFonts w:ascii="宋体" w:hAnsi="宋体" w:cs="宋体"/>
        </w:rPr>
      </w:r>
      <w:r/>
    </w:p>
    <w:p>
      <w:pPr>
        <w:pStyle w:val="859"/>
        <w:ind w:firstLine="420"/>
        <w:spacing w:line="440" w:lineRule="exact"/>
        <w:rPr>
          <w:rFonts w:hint="eastAsia" w:ascii="宋体" w:hAnsi="宋体" w:cs="宋体"/>
          <w:b/>
          <w:color w:val="000000"/>
          <w:sz w:val="21"/>
          <w:szCs w:val="21"/>
        </w:rPr>
      </w:pPr>
      <w:r>
        <w:rPr>
          <w:rFonts w:hint="eastAsia" w:ascii="宋体" w:hAnsi="宋体" w:eastAsia="宋体" w:cs="宋体"/>
          <w:bCs/>
          <w:color w:val="000000"/>
          <w:sz w:val="21"/>
          <w:szCs w:val="21"/>
        </w:rPr>
        <w:t xml:space="preserve">评委根据设备的主要技术参数及功能的符合性进行评分，所投设备的技术参数及功能满足或高于招标文件要求的得15分；设备参数负偏离的每一项扣1分，直至扣完为止。（投标单位需提供所投设备的详细技术特性说明并加盖投标单位公章，否则视为负偏离。）</w:t>
      </w:r>
      <w:r>
        <w:rPr>
          <w:rFonts w:ascii="宋体" w:hAnsi="宋体" w:cs="宋体"/>
        </w:rPr>
      </w:r>
      <w:r/>
    </w:p>
    <w:p>
      <w:pPr>
        <w:pStyle w:val="859"/>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lang w:val="zh-CN"/>
        </w:rPr>
        <w:t xml:space="preserve">（四）</w:t>
      </w:r>
      <w:r>
        <w:rPr>
          <w:rFonts w:hint="eastAsia" w:ascii="宋体" w:hAnsi="宋体" w:eastAsia="宋体" w:cs="宋体"/>
          <w:b/>
          <w:color w:val="000000"/>
          <w:sz w:val="21"/>
          <w:szCs w:val="21"/>
        </w:rPr>
        <w:t xml:space="preserve">投标单位综合实力</w:t>
      </w:r>
      <w:r>
        <w:rPr>
          <w:rFonts w:hint="eastAsia" w:ascii="宋体" w:hAnsi="宋体" w:eastAsia="宋体" w:cs="宋体"/>
          <w:b/>
          <w:color w:val="000000"/>
          <w:sz w:val="21"/>
          <w:szCs w:val="21"/>
          <w:lang w:val="zh-CN"/>
        </w:rPr>
        <w:t xml:space="preserve">（</w:t>
      </w:r>
      <w:r>
        <w:rPr>
          <w:rFonts w:hint="eastAsia" w:ascii="宋体" w:hAnsi="宋体" w:cs="宋体"/>
          <w:b/>
          <w:color w:val="000000"/>
          <w:sz w:val="21"/>
          <w:szCs w:val="21"/>
        </w:rPr>
        <w:t xml:space="preserve">10</w:t>
      </w:r>
      <w:r>
        <w:rPr>
          <w:rFonts w:hint="eastAsia" w:ascii="宋体" w:hAnsi="宋体" w:eastAsia="宋体" w:cs="宋体"/>
          <w:b/>
          <w:color w:val="000000"/>
          <w:sz w:val="21"/>
          <w:szCs w:val="21"/>
          <w:lang w:val="zh-CN"/>
        </w:rPr>
        <w:t xml:space="preserve">分）</w:t>
      </w:r>
      <w:r>
        <w:rPr>
          <w:rFonts w:ascii="宋体" w:hAnsi="宋体" w:cs="宋体"/>
        </w:rPr>
      </w:r>
      <w:r/>
    </w:p>
    <w:p>
      <w:pPr>
        <w:pStyle w:val="859"/>
        <w:ind w:firstLine="422"/>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1、体系认证证书（6分）</w:t>
      </w:r>
      <w:r>
        <w:rPr>
          <w:rFonts w:ascii="宋体" w:hAnsi="宋体" w:cs="宋体"/>
        </w:rPr>
      </w:r>
      <w:r/>
    </w:p>
    <w:p>
      <w:pPr>
        <w:pStyle w:val="859"/>
        <w:ind w:firstLine="420"/>
        <w:spacing w:line="440" w:lineRule="exact"/>
        <w:rPr>
          <w:rFonts w:hint="eastAsia" w:ascii="宋体" w:hAnsi="宋体" w:cs="宋体"/>
          <w:b/>
          <w:color w:val="000000"/>
          <w:sz w:val="21"/>
          <w:szCs w:val="21"/>
        </w:rPr>
      </w:pPr>
      <w:r>
        <w:rPr>
          <w:rFonts w:hint="eastAsia" w:ascii="宋体" w:hAnsi="宋体" w:eastAsia="宋体" w:cs="宋体"/>
          <w:color w:val="000000"/>
          <w:sz w:val="21"/>
          <w:szCs w:val="21"/>
        </w:rPr>
        <w:t xml:space="preserve">投标单位具有有效的质量管理体系认证证书、环境管理体系认证证书、健康管理体系认证证书的，每提供一项得2分，最高得6分。(投标文件中提供有效的体系认证证书复印件及国家认证认可监督管理委员会官网（https://www.cnca.gov.cn/）查询结果页面截图并加盖投标单位公章，缺失、不符或未提供的均不得分。)    </w:t>
      </w:r>
      <w:r>
        <w:rPr>
          <w:rFonts w:ascii="宋体" w:hAnsi="宋体" w:cs="宋体"/>
        </w:rPr>
      </w:r>
      <w:r/>
    </w:p>
    <w:p>
      <w:pPr>
        <w:pStyle w:val="859"/>
        <w:ind w:firstLine="422"/>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2、类似业绩（4分）</w:t>
      </w:r>
      <w:r>
        <w:rPr>
          <w:rFonts w:ascii="宋体" w:hAnsi="宋体" w:cs="宋体"/>
        </w:rPr>
      </w:r>
      <w:r/>
    </w:p>
    <w:p>
      <w:pPr>
        <w:pStyle w:val="859"/>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投标单位自2022年1月1日起至今（以合同签订时间为准）承接过类似项目业绩的，每提供一份业绩得2分，最高得4分。（投标文件中需提供完整的业绩合同</w:t>
      </w:r>
      <w:r>
        <w:rPr>
          <w:rFonts w:hint="eastAsia" w:ascii="宋体" w:hAnsi="宋体" w:eastAsia="宋体" w:cs="宋体"/>
          <w:color w:val="000000"/>
          <w:sz w:val="21"/>
          <w:szCs w:val="21"/>
          <w:lang w:bidi="ar"/>
        </w:rPr>
        <w:t xml:space="preserve">复印件并加盖投标单位公章</w:t>
      </w:r>
      <w:r>
        <w:rPr>
          <w:rFonts w:hint="eastAsia" w:ascii="宋体" w:hAnsi="宋体" w:eastAsia="宋体" w:cs="宋体"/>
          <w:bCs/>
          <w:color w:val="000000"/>
          <w:sz w:val="21"/>
          <w:szCs w:val="21"/>
        </w:rPr>
        <w:t xml:space="preserve">，否则不得分。）  </w:t>
      </w:r>
      <w:r>
        <w:rPr>
          <w:rFonts w:ascii="宋体" w:hAnsi="宋体" w:cs="宋体"/>
        </w:rPr>
      </w:r>
      <w:r/>
    </w:p>
    <w:p>
      <w:pPr>
        <w:pStyle w:val="859"/>
        <w:spacing w:line="440" w:lineRule="exact"/>
        <w:rPr>
          <w:rFonts w:hint="eastAsia" w:ascii="宋体" w:hAnsi="宋体" w:cs="宋体"/>
          <w:bCs/>
          <w:color w:val="000000"/>
          <w:sz w:val="21"/>
          <w:szCs w:val="21"/>
        </w:rPr>
      </w:pPr>
      <w:r>
        <w:rPr>
          <w:rFonts w:ascii="宋体" w:hAnsi="宋体" w:cs="宋体"/>
        </w:rPr>
      </w:r>
      <w:bookmarkEnd w:id="55"/>
      <w:r>
        <w:rPr>
          <w:rFonts w:ascii="宋体" w:hAnsi="宋体" w:cs="宋体"/>
        </w:rPr>
      </w:r>
      <w:bookmarkEnd w:id="56"/>
      <w:r>
        <w:rPr>
          <w:rFonts w:ascii="宋体" w:hAnsi="宋体" w:cs="宋体"/>
        </w:rPr>
      </w:r>
      <w:bookmarkEnd w:id="57"/>
      <w:r>
        <w:rPr>
          <w:rFonts w:ascii="宋体" w:hAnsi="宋体" w:cs="宋体"/>
        </w:rPr>
      </w:r>
      <w:r/>
    </w:p>
    <w:p>
      <w:pPr>
        <w:pStyle w:val="859"/>
        <w:ind w:firstLine="422"/>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注：1、报价超过采购预算（最高限价）的将不进入综合评审程序，也不得标。</w:t>
      </w:r>
      <w:r>
        <w:rPr>
          <w:rFonts w:ascii="宋体" w:hAnsi="宋体" w:cs="宋体"/>
        </w:rPr>
      </w:r>
      <w:r/>
    </w:p>
    <w:p>
      <w:pPr>
        <w:pStyle w:val="859"/>
        <w:ind w:firstLine="422"/>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2、付款步骤、服务期限如有负偏离的不得中标。</w:t>
      </w:r>
      <w:r>
        <w:rPr>
          <w:rFonts w:ascii="宋体" w:hAnsi="宋体" w:cs="宋体"/>
        </w:rPr>
      </w:r>
      <w:r/>
    </w:p>
    <w:p>
      <w:pPr>
        <w:pStyle w:val="859"/>
        <w:ind w:firstLine="422"/>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3、针对评分标准中评分的每一条，投标人均应提供相关资料并作出相应说明供评委评判，不提供相关资料的视为不具备该项得分的条件。</w:t>
      </w:r>
      <w:r>
        <w:rPr>
          <w:rFonts w:ascii="宋体" w:hAnsi="宋体" w:cs="宋体"/>
        </w:rPr>
      </w:r>
      <w:r/>
    </w:p>
    <w:p>
      <w:pPr>
        <w:pStyle w:val="859"/>
        <w:ind w:firstLine="422"/>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lang w:val="zh-CN"/>
        </w:rPr>
        <w:t xml:space="preserve">4、招标文件中要求的复印件可以用扫描件代替；招标文件中要求加盖投标单位公章的，可用电子签章代替。</w:t>
      </w:r>
      <w:r>
        <w:rPr>
          <w:rFonts w:ascii="宋体" w:hAnsi="宋体" w:cs="宋体"/>
        </w:rPr>
      </w:r>
      <w:r/>
    </w:p>
    <w:p>
      <w:pPr>
        <w:pStyle w:val="859"/>
        <w:ind w:firstLine="422"/>
        <w:spacing w:line="440" w:lineRule="exact"/>
        <w:rPr>
          <w:rFonts w:hint="eastAsia" w:ascii="宋体" w:hAnsi="宋体" w:cs="宋体"/>
          <w:color w:val="000000"/>
          <w:sz w:val="21"/>
          <w:szCs w:val="21"/>
        </w:rPr>
      </w:pPr>
      <w:r>
        <w:rPr>
          <w:rFonts w:hint="eastAsia" w:ascii="宋体" w:hAnsi="宋体" w:eastAsia="宋体" w:cs="宋体"/>
          <w:b/>
          <w:color w:val="000000"/>
          <w:sz w:val="21"/>
          <w:szCs w:val="21"/>
        </w:rPr>
        <w:t xml:space="preserve">5、</w:t>
      </w:r>
      <w:r>
        <w:rPr>
          <w:rFonts w:hint="eastAsia" w:ascii="宋体" w:hAnsi="宋体" w:eastAsia="宋体" w:cs="宋体"/>
          <w:b/>
          <w:color w:val="000000"/>
          <w:sz w:val="21"/>
          <w:szCs w:val="21"/>
          <w:lang w:val="zh-CN"/>
        </w:rPr>
        <w:t xml:space="preserve">可以通过互联网或者相关信息系统查询的信息，各投标单位可以在投标文件中提供相关证明材料，也可以在投标文件中列明查询路径。</w:t>
      </w:r>
      <w:r>
        <w:rPr>
          <w:rFonts w:ascii="宋体" w:hAnsi="宋体" w:cs="宋体"/>
        </w:rPr>
      </w:r>
      <w:r/>
    </w:p>
    <w:p>
      <w:pPr>
        <w:pStyle w:val="859"/>
        <w:jc w:val="right"/>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59"/>
        <w:jc w:val="right"/>
        <w:spacing w:line="440" w:lineRule="exact"/>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59"/>
        <w:jc w:val="right"/>
        <w:spacing w:line="440" w:lineRule="exact"/>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59"/>
        <w:jc w:val="right"/>
        <w:spacing w:line="440" w:lineRule="exact"/>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59"/>
        <w:jc w:val="right"/>
        <w:spacing w:line="440" w:lineRule="exact"/>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59"/>
        <w:jc w:val="right"/>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（全文完）                                                             </w:t>
      </w:r>
      <w:r>
        <w:rPr>
          <w:rFonts w:ascii="宋体" w:hAnsi="宋体" w:cs="宋体"/>
        </w:rPr>
      </w:r>
      <w:r/>
    </w:p>
    <w:sectPr>
      <w:headerReference w:type="default" r:id="rId9"/>
      <w:footerReference w:type="default" r:id="rId10"/>
      <w:footnotePr/>
      <w:endnotePr/>
      <w:type w:val="nextPage"/>
      <w:pgSz w:w="11906" w:h="16838" w:orient="portrait"/>
      <w:pgMar w:top="851" w:right="924" w:bottom="680" w:left="1080"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方正黑体简体">
    <w:panose1 w:val="020B0503020202020204"/>
  </w:font>
  <w:font w:name="Tahoma">
    <w:panose1 w:val="020B0604030504040204"/>
  </w:font>
  <w:font w:name="等线">
    <w:panose1 w:val="02010600030101010101"/>
  </w:font>
  <w:font w:name="等线 Light">
    <w:panose1 w:val="02010600030101010101"/>
  </w:font>
  <w:font w:name="Trebuchet MS">
    <w:panose1 w:val="020B0603020202020204"/>
  </w:font>
  <w:font w:name="Courier New">
    <w:panose1 w:val="02070309020205020404"/>
  </w:font>
  <w:font w:name="楷体_GB2312">
    <w:panose1 w:val="02010609060101010101"/>
  </w:font>
  <w:font w:name="Heiti SC Light">
    <w:panose1 w:val="020B0503020202020204"/>
  </w:font>
  <w:font w:name="Cambria">
    <w:panose1 w:val="02040503050406030204"/>
  </w:font>
  <w:font w:name="Century Gothic">
    <w:panose1 w:val="020B0502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rPr>
        <w:rStyle w:val="930"/>
      </w:rPr>
      <w:framePr w:wrap="around" w:vAnchor="text" w:hAnchor="margin" w:xAlign="center" w:y="1"/>
    </w:pPr>
    <w:r>
      <w:fldChar w:fldCharType="begin"/>
    </w:r>
    <w:r>
      <w:rPr>
        <w:rStyle w:val="930"/>
      </w:rPr>
      <w:instrText xml:space="preserve">PAGE  </w:instrText>
    </w:r>
    <w:r>
      <w:fldChar w:fldCharType="separate"/>
    </w:r>
    <w:r>
      <w:rPr>
        <w:rStyle w:val="930"/>
      </w:rPr>
      <w:t xml:space="preserve">50</w:t>
    </w:r>
    <w:r>
      <w:fldChar w:fldCharType="end"/>
    </w:r>
    <w:r>
      <w:rPr>
        <w:rStyle w:val="930"/>
      </w:rPr>
    </w:r>
    <w:r/>
  </w:p>
  <w:p>
    <w:pPr>
      <w:pStyle w:val="9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both"/>
      <w:tabs>
        <w:tab w:val="center" w:pos="4153" w:leader="none"/>
        <w:tab w:val="right" w:pos="8640" w:leader="none"/>
      </w:tabs>
      <w:rPr>
        <w:rFonts w:hint="eastAsia"/>
        <w:lang w:eastAsia="zh-CN"/>
      </w:rPr>
    </w:pPr>
    <w:r>
      <w:rPr>
        <w:rFonts w:hint="eastAsia" w:ascii="宋体" w:hAnsi="宋体" w:cs="宋体"/>
      </w:rPr>
      <w:t xml:space="preserve">苏州欣禾诚工程咨询服务有限公司                                                     </w:t>
    </w:r>
    <w:r>
      <w:rPr>
        <w:rFonts w:hint="eastAsia" w:ascii="宋体" w:hAnsi="宋体" w:cs="宋体"/>
        <w:color w:val="000000"/>
        <w:lang w:eastAsia="zh-CN"/>
      </w:rPr>
      <w:t xml:space="preserve">JSZC-320509-SXHC-G2025-0023</w:t>
    </w: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59"/>
        <w:ind w:left="420" w:hanging="420"/>
        <w:tabs>
          <w:tab w:val="num" w:pos="420" w:leader="none"/>
        </w:tabs>
      </w:pPr>
      <w:rPr>
        <w:rFonts w:hint="eastAsia"/>
      </w:rPr>
    </w:lvl>
    <w:lvl w:ilvl="1">
      <w:start w:val="1"/>
      <w:numFmt w:val="lowerLetter"/>
      <w:isLgl w:val="false"/>
      <w:suff w:val="tab"/>
      <w:lvlText w:val="%2)"/>
      <w:lvlJc w:val="left"/>
      <w:pPr>
        <w:pStyle w:val="859"/>
        <w:ind w:left="840" w:hanging="420"/>
        <w:tabs>
          <w:tab w:val="num" w:pos="840" w:leader="none"/>
        </w:tabs>
      </w:pPr>
    </w:lvl>
    <w:lvl w:ilvl="2">
      <w:start w:val="1"/>
      <w:numFmt w:val="lowerRoman"/>
      <w:isLgl w:val="false"/>
      <w:suff w:val="tab"/>
      <w:lvlText w:val="%3."/>
      <w:lvlJc w:val="right"/>
      <w:pPr>
        <w:pStyle w:val="859"/>
        <w:ind w:left="1260" w:hanging="420"/>
        <w:tabs>
          <w:tab w:val="num" w:pos="1260" w:leader="none"/>
        </w:tabs>
      </w:pPr>
    </w:lvl>
    <w:lvl w:ilvl="3">
      <w:start w:val="1"/>
      <w:numFmt w:val="decimal"/>
      <w:isLgl w:val="false"/>
      <w:suff w:val="tab"/>
      <w:lvlText w:val="%4."/>
      <w:lvlJc w:val="left"/>
      <w:pPr>
        <w:pStyle w:val="859"/>
        <w:ind w:left="1680" w:hanging="420"/>
        <w:tabs>
          <w:tab w:val="num" w:pos="1680" w:leader="none"/>
        </w:tabs>
      </w:pPr>
    </w:lvl>
    <w:lvl w:ilvl="4">
      <w:start w:val="1"/>
      <w:numFmt w:val="lowerLetter"/>
      <w:isLgl w:val="false"/>
      <w:suff w:val="tab"/>
      <w:lvlText w:val="%5)"/>
      <w:lvlJc w:val="left"/>
      <w:pPr>
        <w:pStyle w:val="859"/>
        <w:ind w:left="2100" w:hanging="420"/>
        <w:tabs>
          <w:tab w:val="num" w:pos="2100" w:leader="none"/>
        </w:tabs>
      </w:pPr>
    </w:lvl>
    <w:lvl w:ilvl="5">
      <w:start w:val="1"/>
      <w:numFmt w:val="lowerRoman"/>
      <w:isLgl w:val="false"/>
      <w:suff w:val="tab"/>
      <w:lvlText w:val="%6."/>
      <w:lvlJc w:val="right"/>
      <w:pPr>
        <w:pStyle w:val="859"/>
        <w:ind w:left="2520" w:hanging="420"/>
        <w:tabs>
          <w:tab w:val="num" w:pos="2520" w:leader="none"/>
        </w:tabs>
      </w:pPr>
    </w:lvl>
    <w:lvl w:ilvl="6">
      <w:start w:val="1"/>
      <w:numFmt w:val="decimal"/>
      <w:isLgl w:val="false"/>
      <w:suff w:val="tab"/>
      <w:lvlText w:val="%7."/>
      <w:lvlJc w:val="left"/>
      <w:pPr>
        <w:pStyle w:val="859"/>
        <w:ind w:left="2940" w:hanging="420"/>
        <w:tabs>
          <w:tab w:val="num" w:pos="2940" w:leader="none"/>
        </w:tabs>
      </w:pPr>
    </w:lvl>
    <w:lvl w:ilvl="7">
      <w:start w:val="1"/>
      <w:numFmt w:val="lowerLetter"/>
      <w:isLgl w:val="false"/>
      <w:suff w:val="tab"/>
      <w:lvlText w:val="%8)"/>
      <w:lvlJc w:val="left"/>
      <w:pPr>
        <w:pStyle w:val="859"/>
        <w:ind w:left="3360" w:hanging="420"/>
        <w:tabs>
          <w:tab w:val="num" w:pos="3360" w:leader="none"/>
        </w:tabs>
      </w:pPr>
    </w:lvl>
    <w:lvl w:ilvl="8">
      <w:start w:val="1"/>
      <w:numFmt w:val="lowerRoman"/>
      <w:isLgl w:val="false"/>
      <w:suff w:val="tab"/>
      <w:lvlText w:val="%9."/>
      <w:lvlJc w:val="right"/>
      <w:pPr>
        <w:pStyle w:val="859"/>
        <w:ind w:left="3780" w:hanging="420"/>
        <w:tabs>
          <w:tab w:val="num" w:pos="3780" w:leader="none"/>
        </w:tabs>
      </w:pPr>
    </w:lvl>
  </w:abstractNum>
  <w:abstractNum w:abstractNumId="2">
    <w:multiLevelType w:val="hybridMultilevel"/>
    <w:lvl w:ilvl="0">
      <w:start w:val="1"/>
      <w:numFmt w:val="decimal"/>
      <w:isLgl w:val="false"/>
      <w:suff w:val="tab"/>
      <w:lvlText w:val="%1."/>
      <w:lvlJc w:val="left"/>
      <w:pPr>
        <w:pStyle w:val="859"/>
        <w:ind w:left="420" w:hanging="420"/>
        <w:tabs>
          <w:tab w:val="num" w:pos="420" w:leader="none"/>
        </w:tabs>
      </w:pPr>
      <w:rPr>
        <w:rFonts w:hint="eastAsia"/>
      </w:rPr>
    </w:lvl>
    <w:lvl w:ilvl="1">
      <w:start w:val="1"/>
      <w:numFmt w:val="lowerLetter"/>
      <w:isLgl w:val="false"/>
      <w:suff w:val="tab"/>
      <w:lvlText w:val="%2)"/>
      <w:lvlJc w:val="left"/>
      <w:pPr>
        <w:pStyle w:val="859"/>
        <w:ind w:left="840" w:hanging="420"/>
        <w:tabs>
          <w:tab w:val="num" w:pos="840" w:leader="none"/>
        </w:tabs>
      </w:pPr>
    </w:lvl>
    <w:lvl w:ilvl="2">
      <w:start w:val="1"/>
      <w:numFmt w:val="lowerRoman"/>
      <w:isLgl w:val="false"/>
      <w:suff w:val="tab"/>
      <w:lvlText w:val="%3."/>
      <w:lvlJc w:val="right"/>
      <w:pPr>
        <w:pStyle w:val="859"/>
        <w:ind w:left="1260" w:hanging="420"/>
        <w:tabs>
          <w:tab w:val="num" w:pos="1260" w:leader="none"/>
        </w:tabs>
      </w:pPr>
    </w:lvl>
    <w:lvl w:ilvl="3">
      <w:start w:val="1"/>
      <w:numFmt w:val="decimal"/>
      <w:isLgl w:val="false"/>
      <w:suff w:val="tab"/>
      <w:lvlText w:val="%4."/>
      <w:lvlJc w:val="left"/>
      <w:pPr>
        <w:pStyle w:val="859"/>
        <w:ind w:left="1680" w:hanging="420"/>
        <w:tabs>
          <w:tab w:val="num" w:pos="1680" w:leader="none"/>
        </w:tabs>
      </w:pPr>
    </w:lvl>
    <w:lvl w:ilvl="4">
      <w:start w:val="1"/>
      <w:numFmt w:val="lowerLetter"/>
      <w:isLgl w:val="false"/>
      <w:suff w:val="tab"/>
      <w:lvlText w:val="%5)"/>
      <w:lvlJc w:val="left"/>
      <w:pPr>
        <w:pStyle w:val="859"/>
        <w:ind w:left="2100" w:hanging="420"/>
        <w:tabs>
          <w:tab w:val="num" w:pos="2100" w:leader="none"/>
        </w:tabs>
      </w:pPr>
    </w:lvl>
    <w:lvl w:ilvl="5">
      <w:start w:val="1"/>
      <w:numFmt w:val="lowerRoman"/>
      <w:isLgl w:val="false"/>
      <w:suff w:val="tab"/>
      <w:lvlText w:val="%6."/>
      <w:lvlJc w:val="right"/>
      <w:pPr>
        <w:pStyle w:val="859"/>
        <w:ind w:left="2520" w:hanging="420"/>
        <w:tabs>
          <w:tab w:val="num" w:pos="2520" w:leader="none"/>
        </w:tabs>
      </w:pPr>
    </w:lvl>
    <w:lvl w:ilvl="6">
      <w:start w:val="1"/>
      <w:numFmt w:val="decimal"/>
      <w:isLgl w:val="false"/>
      <w:suff w:val="tab"/>
      <w:lvlText w:val="%7."/>
      <w:lvlJc w:val="left"/>
      <w:pPr>
        <w:pStyle w:val="859"/>
        <w:ind w:left="2940" w:hanging="420"/>
        <w:tabs>
          <w:tab w:val="num" w:pos="2940" w:leader="none"/>
        </w:tabs>
      </w:pPr>
    </w:lvl>
    <w:lvl w:ilvl="7">
      <w:start w:val="1"/>
      <w:numFmt w:val="lowerLetter"/>
      <w:isLgl w:val="false"/>
      <w:suff w:val="tab"/>
      <w:lvlText w:val="%8)"/>
      <w:lvlJc w:val="left"/>
      <w:pPr>
        <w:pStyle w:val="859"/>
        <w:ind w:left="3360" w:hanging="420"/>
        <w:tabs>
          <w:tab w:val="num" w:pos="3360" w:leader="none"/>
        </w:tabs>
      </w:pPr>
    </w:lvl>
    <w:lvl w:ilvl="8">
      <w:start w:val="1"/>
      <w:numFmt w:val="lowerRoman"/>
      <w:isLgl w:val="false"/>
      <w:suff w:val="tab"/>
      <w:lvlText w:val="%9."/>
      <w:lvlJc w:val="right"/>
      <w:pPr>
        <w:pStyle w:val="859"/>
        <w:ind w:left="3780" w:hanging="420"/>
        <w:tabs>
          <w:tab w:val="num" w:pos="3780" w:leader="none"/>
        </w:tabs>
      </w:pPr>
    </w:lvl>
  </w:abstractNum>
  <w:abstractNum w:abstractNumId="3">
    <w:multiLevelType w:val="hybridMultilevel"/>
    <w:lvl w:ilvl="0">
      <w:start w:val="1"/>
      <w:numFmt w:val="japaneseCounting"/>
      <w:isLgl w:val="false"/>
      <w:suff w:val="tab"/>
      <w:lvlText w:val="%1、"/>
      <w:lvlJc w:val="left"/>
      <w:pPr>
        <w:pStyle w:val="859"/>
        <w:ind w:left="600" w:hanging="420"/>
        <w:tabs>
          <w:tab w:val="num" w:pos="600" w:leader="none"/>
        </w:tabs>
      </w:pPr>
      <w:rPr>
        <w:rFonts w:hint="eastAsia"/>
      </w:rPr>
    </w:lvl>
    <w:lvl w:ilvl="1">
      <w:start w:val="1"/>
      <w:numFmt w:val="decimal"/>
      <w:isLgl w:val="false"/>
      <w:suff w:val="tab"/>
      <w:lvlText w:val="%2．"/>
      <w:lvlJc w:val="left"/>
      <w:pPr>
        <w:pStyle w:val="859"/>
        <w:ind w:left="780" w:hanging="360"/>
        <w:tabs>
          <w:tab w:val="num" w:pos="780" w:leader="none"/>
        </w:tabs>
      </w:pPr>
      <w:rPr>
        <w:rFonts w:hint="eastAsia"/>
      </w:rPr>
    </w:lvl>
    <w:lvl w:ilvl="2">
      <w:start w:val="1"/>
      <w:numFmt w:val="decimal"/>
      <w:isLgl w:val="false"/>
      <w:suff w:val="tab"/>
      <w:lvlText w:val="%3、"/>
      <w:lvlJc w:val="left"/>
      <w:pPr>
        <w:pStyle w:val="859"/>
        <w:ind w:left="1200" w:hanging="360"/>
        <w:tabs>
          <w:tab w:val="num" w:pos="1200" w:leader="none"/>
        </w:tabs>
      </w:pPr>
    </w:lvl>
    <w:lvl w:ilvl="3">
      <w:start w:val="1"/>
      <w:numFmt w:val="decimal"/>
      <w:isLgl w:val="false"/>
      <w:suff w:val="tab"/>
      <w:lvlText w:val="%4."/>
      <w:lvlJc w:val="left"/>
      <w:pPr>
        <w:pStyle w:val="859"/>
        <w:ind w:left="1680" w:hanging="420"/>
        <w:tabs>
          <w:tab w:val="num" w:pos="1680" w:leader="none"/>
        </w:tabs>
      </w:pPr>
    </w:lvl>
    <w:lvl w:ilvl="4">
      <w:start w:val="1"/>
      <w:numFmt w:val="lowerLetter"/>
      <w:isLgl w:val="false"/>
      <w:suff w:val="tab"/>
      <w:lvlText w:val="%5)"/>
      <w:lvlJc w:val="left"/>
      <w:pPr>
        <w:pStyle w:val="859"/>
        <w:ind w:left="2100" w:hanging="420"/>
        <w:tabs>
          <w:tab w:val="num" w:pos="2100" w:leader="none"/>
        </w:tabs>
      </w:pPr>
    </w:lvl>
    <w:lvl w:ilvl="5">
      <w:start w:val="1"/>
      <w:numFmt w:val="lowerRoman"/>
      <w:isLgl w:val="false"/>
      <w:suff w:val="tab"/>
      <w:lvlText w:val="%6."/>
      <w:lvlJc w:val="right"/>
      <w:pPr>
        <w:pStyle w:val="859"/>
        <w:ind w:left="2520" w:hanging="420"/>
        <w:tabs>
          <w:tab w:val="num" w:pos="2520" w:leader="none"/>
        </w:tabs>
      </w:pPr>
    </w:lvl>
    <w:lvl w:ilvl="6">
      <w:start w:val="1"/>
      <w:numFmt w:val="decimal"/>
      <w:isLgl w:val="false"/>
      <w:suff w:val="tab"/>
      <w:lvlText w:val="%7."/>
      <w:lvlJc w:val="left"/>
      <w:pPr>
        <w:pStyle w:val="859"/>
        <w:ind w:left="2940" w:hanging="420"/>
        <w:tabs>
          <w:tab w:val="num" w:pos="2940" w:leader="none"/>
        </w:tabs>
      </w:pPr>
    </w:lvl>
    <w:lvl w:ilvl="7">
      <w:start w:val="1"/>
      <w:numFmt w:val="lowerLetter"/>
      <w:isLgl w:val="false"/>
      <w:suff w:val="tab"/>
      <w:lvlText w:val="%8)"/>
      <w:lvlJc w:val="left"/>
      <w:pPr>
        <w:pStyle w:val="859"/>
        <w:ind w:left="3360" w:hanging="420"/>
        <w:tabs>
          <w:tab w:val="num" w:pos="3360" w:leader="none"/>
        </w:tabs>
      </w:pPr>
    </w:lvl>
    <w:lvl w:ilvl="8">
      <w:start w:val="1"/>
      <w:numFmt w:val="lowerRoman"/>
      <w:isLgl w:val="false"/>
      <w:suff w:val="tab"/>
      <w:lvlText w:val="%9."/>
      <w:lvlJc w:val="right"/>
      <w:pPr>
        <w:pStyle w:val="859"/>
        <w:ind w:left="3780" w:hanging="420"/>
        <w:tabs>
          <w:tab w:val="num" w:pos="3780" w:leader="none"/>
        </w:tabs>
      </w:pPr>
    </w:lvl>
  </w:abstractNum>
  <w:abstractNum w:abstractNumId="4">
    <w:multiLevelType w:val="hybridMultilevel"/>
    <w:lvl w:ilvl="0">
      <w:start w:val="1"/>
      <w:numFmt w:val="decimal"/>
      <w:pStyle w:val="1044"/>
      <w:isLgl w:val="false"/>
      <w:suff w:val="tab"/>
      <w:lvlText w:val="%1)"/>
      <w:lvlJc w:val="left"/>
      <w:pPr>
        <w:pStyle w:val="859"/>
        <w:ind w:left="420" w:hanging="420"/>
        <w:tabs>
          <w:tab w:val="num" w:pos="420" w:leader="none"/>
        </w:tabs>
      </w:pPr>
    </w:lvl>
    <w:lvl w:ilvl="1">
      <w:start w:val="1"/>
      <w:numFmt w:val="lowerLetter"/>
      <w:isLgl w:val="false"/>
      <w:suff w:val="tab"/>
      <w:lvlText w:val="%2)"/>
      <w:lvlJc w:val="left"/>
      <w:pPr>
        <w:pStyle w:val="859"/>
        <w:ind w:left="840" w:hanging="420"/>
        <w:tabs>
          <w:tab w:val="num" w:pos="840" w:leader="none"/>
        </w:tabs>
      </w:pPr>
    </w:lvl>
    <w:lvl w:ilvl="2">
      <w:start w:val="1"/>
      <w:numFmt w:val="lowerRoman"/>
      <w:isLgl w:val="false"/>
      <w:suff w:val="tab"/>
      <w:lvlText w:val="%3."/>
      <w:lvlJc w:val="right"/>
      <w:pPr>
        <w:pStyle w:val="859"/>
        <w:ind w:left="1260" w:hanging="420"/>
        <w:tabs>
          <w:tab w:val="num" w:pos="1260" w:leader="none"/>
        </w:tabs>
      </w:pPr>
    </w:lvl>
    <w:lvl w:ilvl="3">
      <w:start w:val="1"/>
      <w:numFmt w:val="decimal"/>
      <w:isLgl w:val="false"/>
      <w:suff w:val="tab"/>
      <w:lvlText w:val="%4."/>
      <w:lvlJc w:val="left"/>
      <w:pPr>
        <w:pStyle w:val="859"/>
        <w:ind w:left="1680" w:hanging="420"/>
        <w:tabs>
          <w:tab w:val="num" w:pos="1680" w:leader="none"/>
        </w:tabs>
      </w:pPr>
    </w:lvl>
    <w:lvl w:ilvl="4">
      <w:start w:val="1"/>
      <w:numFmt w:val="lowerLetter"/>
      <w:isLgl w:val="false"/>
      <w:suff w:val="tab"/>
      <w:lvlText w:val="%5)"/>
      <w:lvlJc w:val="left"/>
      <w:pPr>
        <w:pStyle w:val="859"/>
        <w:ind w:left="2100" w:hanging="420"/>
        <w:tabs>
          <w:tab w:val="num" w:pos="2100" w:leader="none"/>
        </w:tabs>
      </w:pPr>
    </w:lvl>
    <w:lvl w:ilvl="5">
      <w:start w:val="1"/>
      <w:numFmt w:val="lowerRoman"/>
      <w:isLgl w:val="false"/>
      <w:suff w:val="tab"/>
      <w:lvlText w:val="%6."/>
      <w:lvlJc w:val="right"/>
      <w:pPr>
        <w:pStyle w:val="859"/>
        <w:ind w:left="2520" w:hanging="420"/>
        <w:tabs>
          <w:tab w:val="num" w:pos="2520" w:leader="none"/>
        </w:tabs>
      </w:pPr>
    </w:lvl>
    <w:lvl w:ilvl="6">
      <w:start w:val="1"/>
      <w:numFmt w:val="decimal"/>
      <w:isLgl w:val="false"/>
      <w:suff w:val="tab"/>
      <w:lvlText w:val="%7."/>
      <w:lvlJc w:val="left"/>
      <w:pPr>
        <w:pStyle w:val="859"/>
        <w:ind w:left="2940" w:hanging="420"/>
        <w:tabs>
          <w:tab w:val="num" w:pos="2940" w:leader="none"/>
        </w:tabs>
      </w:pPr>
    </w:lvl>
    <w:lvl w:ilvl="7">
      <w:start w:val="1"/>
      <w:numFmt w:val="lowerLetter"/>
      <w:isLgl w:val="false"/>
      <w:suff w:val="tab"/>
      <w:lvlText w:val="%8)"/>
      <w:lvlJc w:val="left"/>
      <w:pPr>
        <w:pStyle w:val="859"/>
        <w:ind w:left="3360" w:hanging="420"/>
        <w:tabs>
          <w:tab w:val="num" w:pos="3360" w:leader="none"/>
        </w:tabs>
      </w:pPr>
    </w:lvl>
    <w:lvl w:ilvl="8">
      <w:start w:val="1"/>
      <w:numFmt w:val="lowerRoman"/>
      <w:isLgl w:val="false"/>
      <w:suff w:val="tab"/>
      <w:lvlText w:val="%9."/>
      <w:lvlJc w:val="right"/>
      <w:pPr>
        <w:pStyle w:val="859"/>
        <w:ind w:left="3780" w:hanging="420"/>
        <w:tabs>
          <w:tab w:val="num" w:pos="3780" w:leader="none"/>
        </w:tabs>
      </w:pPr>
    </w:lvl>
  </w:abstractNum>
  <w:abstractNum w:abstractNumId="5">
    <w:multiLevelType w:val="hybridMultilevel"/>
    <w:lvl w:ilvl="0">
      <w:start w:val="1"/>
      <w:numFmt w:val="japaneseCounting"/>
      <w:isLgl w:val="false"/>
      <w:suff w:val="tab"/>
      <w:lvlText w:val="%1、"/>
      <w:lvlJc w:val="left"/>
      <w:pPr>
        <w:pStyle w:val="859"/>
        <w:ind w:left="420" w:hanging="420"/>
        <w:tabs>
          <w:tab w:val="num" w:pos="420" w:leader="none"/>
        </w:tabs>
      </w:pPr>
      <w:rPr>
        <w:rFonts w:hint="eastAsia"/>
        <w:b/>
        <w:bCs w:val="0"/>
      </w:rPr>
    </w:lvl>
    <w:lvl w:ilvl="1">
      <w:start w:val="1"/>
      <w:numFmt w:val="bullet"/>
      <w:isLgl w:val="false"/>
      <w:suff w:val="tab"/>
      <w:lvlText w:val=""/>
      <w:lvlJc w:val="left"/>
      <w:pPr>
        <w:pStyle w:val="859"/>
        <w:ind w:left="840" w:hanging="420"/>
        <w:tabs>
          <w:tab w:val="num" w:pos="840" w:leader="none"/>
        </w:tabs>
      </w:pPr>
      <w:rPr>
        <w:rFonts w:ascii="Wingdings" w:hAnsi="Wingdings" w:cs="Wingdings"/>
      </w:rPr>
    </w:lvl>
    <w:lvl w:ilvl="2">
      <w:start w:val="1"/>
      <w:numFmt w:val="lowerRoman"/>
      <w:isLgl w:val="false"/>
      <w:suff w:val="tab"/>
      <w:lvlText w:val="%3."/>
      <w:lvlJc w:val="right"/>
      <w:pPr>
        <w:pStyle w:val="859"/>
        <w:ind w:left="1260" w:hanging="420"/>
        <w:tabs>
          <w:tab w:val="num" w:pos="1260" w:leader="none"/>
        </w:tabs>
      </w:pPr>
    </w:lvl>
    <w:lvl w:ilvl="3">
      <w:start w:val="1"/>
      <w:numFmt w:val="decimal"/>
      <w:isLgl w:val="false"/>
      <w:suff w:val="tab"/>
      <w:lvlText w:val="%4."/>
      <w:lvlJc w:val="left"/>
      <w:pPr>
        <w:pStyle w:val="859"/>
        <w:ind w:left="1680" w:hanging="420"/>
        <w:tabs>
          <w:tab w:val="num" w:pos="1680" w:leader="none"/>
        </w:tabs>
      </w:pPr>
    </w:lvl>
    <w:lvl w:ilvl="4">
      <w:start w:val="1"/>
      <w:numFmt w:val="lowerLetter"/>
      <w:isLgl w:val="false"/>
      <w:suff w:val="tab"/>
      <w:lvlText w:val="%5)"/>
      <w:lvlJc w:val="left"/>
      <w:pPr>
        <w:pStyle w:val="859"/>
        <w:ind w:left="2100" w:hanging="420"/>
        <w:tabs>
          <w:tab w:val="num" w:pos="2100" w:leader="none"/>
        </w:tabs>
      </w:pPr>
    </w:lvl>
    <w:lvl w:ilvl="5">
      <w:start w:val="1"/>
      <w:numFmt w:val="lowerRoman"/>
      <w:isLgl w:val="false"/>
      <w:suff w:val="tab"/>
      <w:lvlText w:val="%6."/>
      <w:lvlJc w:val="right"/>
      <w:pPr>
        <w:pStyle w:val="859"/>
        <w:ind w:left="2520" w:hanging="420"/>
        <w:tabs>
          <w:tab w:val="num" w:pos="2520" w:leader="none"/>
        </w:tabs>
      </w:pPr>
    </w:lvl>
    <w:lvl w:ilvl="6">
      <w:start w:val="1"/>
      <w:numFmt w:val="decimal"/>
      <w:isLgl w:val="false"/>
      <w:suff w:val="tab"/>
      <w:lvlText w:val="%7."/>
      <w:lvlJc w:val="left"/>
      <w:pPr>
        <w:pStyle w:val="859"/>
        <w:ind w:left="2940" w:hanging="420"/>
        <w:tabs>
          <w:tab w:val="num" w:pos="2940" w:leader="none"/>
        </w:tabs>
      </w:pPr>
    </w:lvl>
    <w:lvl w:ilvl="7">
      <w:start w:val="1"/>
      <w:numFmt w:val="lowerLetter"/>
      <w:isLgl w:val="false"/>
      <w:suff w:val="tab"/>
      <w:lvlText w:val="%8)"/>
      <w:lvlJc w:val="left"/>
      <w:pPr>
        <w:pStyle w:val="859"/>
        <w:ind w:left="3360" w:hanging="420"/>
        <w:tabs>
          <w:tab w:val="num" w:pos="3360" w:leader="none"/>
        </w:tabs>
      </w:pPr>
    </w:lvl>
    <w:lvl w:ilvl="8">
      <w:start w:val="1"/>
      <w:numFmt w:val="lowerRoman"/>
      <w:isLgl w:val="false"/>
      <w:suff w:val="tab"/>
      <w:lvlText w:val="%9."/>
      <w:lvlJc w:val="right"/>
      <w:pPr>
        <w:pStyle w:val="859"/>
        <w:ind w:left="3780" w:hanging="420"/>
        <w:tabs>
          <w:tab w:val="num" w:pos="3780" w:leader="none"/>
        </w:tabs>
      </w:pPr>
    </w:lvl>
  </w:abstractNum>
  <w:abstractNum w:abstractNumId="6">
    <w:multiLevelType w:val="hybridMultilevel"/>
    <w:lvl w:ilvl="0">
      <w:start w:val="1"/>
      <w:numFmt w:val="decimal"/>
      <w:isLgl w:val="false"/>
      <w:suff w:val="tab"/>
      <w:lvlText w:val="%1."/>
      <w:lvlJc w:val="left"/>
      <w:pPr>
        <w:pStyle w:val="859"/>
        <w:ind w:left="420" w:hanging="420"/>
        <w:tabs>
          <w:tab w:val="num" w:pos="420" w:leader="none"/>
        </w:tabs>
      </w:pPr>
      <w:rPr>
        <w:rFonts w:hint="eastAsia"/>
      </w:rPr>
    </w:lvl>
    <w:lvl w:ilvl="1">
      <w:start w:val="1"/>
      <w:numFmt w:val="lowerLetter"/>
      <w:isLgl w:val="false"/>
      <w:suff w:val="tab"/>
      <w:lvlText w:val="%2)"/>
      <w:lvlJc w:val="left"/>
      <w:pPr>
        <w:pStyle w:val="859"/>
        <w:ind w:left="840" w:hanging="420"/>
        <w:tabs>
          <w:tab w:val="num" w:pos="840" w:leader="none"/>
        </w:tabs>
      </w:pPr>
    </w:lvl>
    <w:lvl w:ilvl="2">
      <w:start w:val="1"/>
      <w:numFmt w:val="lowerRoman"/>
      <w:isLgl w:val="false"/>
      <w:suff w:val="tab"/>
      <w:lvlText w:val="%3."/>
      <w:lvlJc w:val="right"/>
      <w:pPr>
        <w:pStyle w:val="859"/>
        <w:ind w:left="1260" w:hanging="420"/>
        <w:tabs>
          <w:tab w:val="num" w:pos="1260" w:leader="none"/>
        </w:tabs>
      </w:pPr>
    </w:lvl>
    <w:lvl w:ilvl="3">
      <w:start w:val="1"/>
      <w:numFmt w:val="decimal"/>
      <w:isLgl w:val="false"/>
      <w:suff w:val="tab"/>
      <w:lvlText w:val="%4."/>
      <w:lvlJc w:val="left"/>
      <w:pPr>
        <w:pStyle w:val="859"/>
        <w:ind w:left="1680" w:hanging="420"/>
        <w:tabs>
          <w:tab w:val="num" w:pos="1680" w:leader="none"/>
        </w:tabs>
      </w:pPr>
    </w:lvl>
    <w:lvl w:ilvl="4">
      <w:start w:val="1"/>
      <w:numFmt w:val="lowerLetter"/>
      <w:isLgl w:val="false"/>
      <w:suff w:val="tab"/>
      <w:lvlText w:val="%5)"/>
      <w:lvlJc w:val="left"/>
      <w:pPr>
        <w:pStyle w:val="859"/>
        <w:ind w:left="2100" w:hanging="420"/>
        <w:tabs>
          <w:tab w:val="num" w:pos="2100" w:leader="none"/>
        </w:tabs>
      </w:pPr>
    </w:lvl>
    <w:lvl w:ilvl="5">
      <w:start w:val="1"/>
      <w:numFmt w:val="lowerRoman"/>
      <w:isLgl w:val="false"/>
      <w:suff w:val="tab"/>
      <w:lvlText w:val="%6."/>
      <w:lvlJc w:val="right"/>
      <w:pPr>
        <w:pStyle w:val="859"/>
        <w:ind w:left="2520" w:hanging="420"/>
        <w:tabs>
          <w:tab w:val="num" w:pos="2520" w:leader="none"/>
        </w:tabs>
      </w:pPr>
    </w:lvl>
    <w:lvl w:ilvl="6">
      <w:start w:val="1"/>
      <w:numFmt w:val="decimal"/>
      <w:isLgl w:val="false"/>
      <w:suff w:val="tab"/>
      <w:lvlText w:val="%7."/>
      <w:lvlJc w:val="left"/>
      <w:pPr>
        <w:pStyle w:val="859"/>
        <w:ind w:left="2940" w:hanging="420"/>
        <w:tabs>
          <w:tab w:val="num" w:pos="2940" w:leader="none"/>
        </w:tabs>
      </w:pPr>
    </w:lvl>
    <w:lvl w:ilvl="7">
      <w:start w:val="1"/>
      <w:numFmt w:val="lowerLetter"/>
      <w:isLgl w:val="false"/>
      <w:suff w:val="tab"/>
      <w:lvlText w:val="%8)"/>
      <w:lvlJc w:val="left"/>
      <w:pPr>
        <w:pStyle w:val="859"/>
        <w:ind w:left="3360" w:hanging="420"/>
        <w:tabs>
          <w:tab w:val="num" w:pos="3360" w:leader="none"/>
        </w:tabs>
      </w:pPr>
    </w:lvl>
    <w:lvl w:ilvl="8">
      <w:start w:val="1"/>
      <w:numFmt w:val="lowerRoman"/>
      <w:isLgl w:val="false"/>
      <w:suff w:val="tab"/>
      <w:lvlText w:val="%9."/>
      <w:lvlJc w:val="right"/>
      <w:pPr>
        <w:pStyle w:val="859"/>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859"/>
        <w:ind w:left="425" w:hanging="425"/>
        <w:tabs>
          <w:tab w:val="num" w:pos="425" w:leader="none"/>
        </w:tabs>
      </w:pPr>
    </w:lvl>
    <w:lvl w:ilvl="1">
      <w:start w:val="1"/>
      <w:numFmt w:val="decimal"/>
      <w:isLgl w:val="false"/>
      <w:suff w:val="tab"/>
      <w:lvlText w:val="%1.%2."/>
      <w:lvlJc w:val="left"/>
      <w:pPr>
        <w:pStyle w:val="859"/>
        <w:ind w:left="567" w:hanging="567"/>
        <w:tabs>
          <w:tab w:val="num" w:pos="567" w:leader="none"/>
        </w:tabs>
      </w:pPr>
    </w:lvl>
    <w:lvl w:ilvl="2">
      <w:start w:val="1"/>
      <w:numFmt w:val="decimal"/>
      <w:isLgl w:val="false"/>
      <w:suff w:val="tab"/>
      <w:lvlText w:val="%1.%2.%3."/>
      <w:lvlJc w:val="left"/>
      <w:pPr>
        <w:pStyle w:val="859"/>
        <w:ind w:left="1069" w:hanging="709"/>
        <w:tabs>
          <w:tab w:val="num" w:pos="1069" w:leader="none"/>
        </w:tabs>
      </w:pPr>
    </w:lvl>
    <w:lvl w:ilvl="3">
      <w:start w:val="1"/>
      <w:numFmt w:val="decimal"/>
      <w:isLgl w:val="false"/>
      <w:suff w:val="tab"/>
      <w:lvlText w:val="%1.%2.%3.%4."/>
      <w:lvlJc w:val="left"/>
      <w:pPr>
        <w:pStyle w:val="859"/>
        <w:ind w:left="851" w:hanging="851"/>
        <w:tabs>
          <w:tab w:val="num" w:pos="851" w:leader="none"/>
        </w:tabs>
      </w:pPr>
    </w:lvl>
    <w:lvl w:ilvl="4">
      <w:start w:val="1"/>
      <w:numFmt w:val="decimal"/>
      <w:isLgl w:val="false"/>
      <w:suff w:val="tab"/>
      <w:lvlText w:val="%1.%2.%3.%4.%5."/>
      <w:lvlJc w:val="left"/>
      <w:pPr>
        <w:pStyle w:val="859"/>
        <w:ind w:left="992" w:hanging="992"/>
        <w:tabs>
          <w:tab w:val="num" w:pos="992" w:leader="none"/>
        </w:tabs>
      </w:pPr>
    </w:lvl>
    <w:lvl w:ilvl="5">
      <w:start w:val="1"/>
      <w:numFmt w:val="decimal"/>
      <w:isLgl w:val="false"/>
      <w:suff w:val="tab"/>
      <w:lvlText w:val="%1.%2.%3.%4.%5.%6."/>
      <w:lvlJc w:val="left"/>
      <w:pPr>
        <w:pStyle w:val="859"/>
        <w:ind w:left="1134" w:hanging="1134"/>
        <w:tabs>
          <w:tab w:val="num" w:pos="1134" w:leader="none"/>
        </w:tabs>
      </w:pPr>
    </w:lvl>
    <w:lvl w:ilvl="6">
      <w:start w:val="1"/>
      <w:numFmt w:val="decimal"/>
      <w:isLgl w:val="false"/>
      <w:suff w:val="tab"/>
      <w:lvlText w:val="%1.%2.%3.%4.%5.%6.%7."/>
      <w:lvlJc w:val="left"/>
      <w:pPr>
        <w:pStyle w:val="859"/>
        <w:ind w:left="1276" w:hanging="1276"/>
        <w:tabs>
          <w:tab w:val="num" w:pos="1276" w:leader="none"/>
        </w:tabs>
      </w:pPr>
    </w:lvl>
    <w:lvl w:ilvl="7">
      <w:start w:val="1"/>
      <w:numFmt w:val="decimal"/>
      <w:isLgl w:val="false"/>
      <w:suff w:val="tab"/>
      <w:lvlText w:val="%1.%2.%3.%4.%5.%6.%7.%8."/>
      <w:lvlJc w:val="left"/>
      <w:pPr>
        <w:pStyle w:val="859"/>
        <w:ind w:left="1418" w:hanging="1418"/>
        <w:tabs>
          <w:tab w:val="num" w:pos="1418" w:leader="none"/>
        </w:tabs>
      </w:pPr>
    </w:lvl>
    <w:lvl w:ilvl="8">
      <w:start w:val="1"/>
      <w:numFmt w:val="decimal"/>
      <w:isLgl w:val="false"/>
      <w:suff w:val="tab"/>
      <w:lvlText w:val="%1.%2.%3.%4.%5.%6.%7.%8.%9."/>
      <w:lvlJc w:val="left"/>
      <w:pPr>
        <w:pStyle w:val="859"/>
        <w:ind w:left="1559" w:hanging="1559"/>
        <w:tabs>
          <w:tab w:val="num" w:pos="1559" w:leader="none"/>
        </w:tabs>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7"/>
  </w:num>
  <w:num w:numId="5">
    <w:abstractNumId w:val="0"/>
  </w:num>
  <w:num w:numId="6">
    <w:abstractNumId w:val="5"/>
  </w:num>
  <w:num w:numId="7">
    <w:abstractNumId w:val="1"/>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859"/>
    <w:next w:val="859"/>
    <w:link w:val="683"/>
    <w:uiPriority w:val="9"/>
    <w:qFormat/>
    <w:pPr>
      <w:keepLines/>
      <w:keepNext/>
      <w:spacing w:before="480" w:after="200"/>
      <w:outlineLvl w:val="0"/>
    </w:pPr>
    <w:rPr>
      <w:rFonts w:ascii="Arial" w:hAnsi="Arial" w:eastAsia="Arial" w:cs="Arial"/>
      <w:sz w:val="40"/>
      <w:szCs w:val="40"/>
    </w:rPr>
  </w:style>
  <w:style w:type="character" w:styleId="683">
    <w:name w:val="Heading 1 Char"/>
    <w:link w:val="682"/>
    <w:uiPriority w:val="9"/>
    <w:rPr>
      <w:rFonts w:ascii="Arial" w:hAnsi="Arial" w:eastAsia="Arial" w:cs="Arial"/>
      <w:sz w:val="40"/>
      <w:szCs w:val="40"/>
    </w:rPr>
  </w:style>
  <w:style w:type="paragraph" w:styleId="684">
    <w:name w:val="Heading 2"/>
    <w:basedOn w:val="859"/>
    <w:next w:val="859"/>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link w:val="684"/>
    <w:uiPriority w:val="9"/>
    <w:rPr>
      <w:rFonts w:ascii="Arial" w:hAnsi="Arial" w:eastAsia="Arial" w:cs="Arial"/>
      <w:sz w:val="34"/>
    </w:rPr>
  </w:style>
  <w:style w:type="paragraph" w:styleId="686">
    <w:name w:val="Heading 3"/>
    <w:basedOn w:val="859"/>
    <w:next w:val="859"/>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link w:val="686"/>
    <w:uiPriority w:val="9"/>
    <w:rPr>
      <w:rFonts w:ascii="Arial" w:hAnsi="Arial" w:eastAsia="Arial" w:cs="Arial"/>
      <w:sz w:val="30"/>
      <w:szCs w:val="30"/>
    </w:rPr>
  </w:style>
  <w:style w:type="paragraph" w:styleId="688">
    <w:name w:val="Heading 4"/>
    <w:basedOn w:val="859"/>
    <w:next w:val="859"/>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link w:val="688"/>
    <w:uiPriority w:val="9"/>
    <w:rPr>
      <w:rFonts w:ascii="Arial" w:hAnsi="Arial" w:eastAsia="Arial" w:cs="Arial"/>
      <w:b/>
      <w:bCs/>
      <w:sz w:val="26"/>
      <w:szCs w:val="26"/>
    </w:rPr>
  </w:style>
  <w:style w:type="paragraph" w:styleId="690">
    <w:name w:val="Heading 5"/>
    <w:basedOn w:val="859"/>
    <w:next w:val="859"/>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link w:val="690"/>
    <w:uiPriority w:val="9"/>
    <w:rPr>
      <w:rFonts w:ascii="Arial" w:hAnsi="Arial" w:eastAsia="Arial" w:cs="Arial"/>
      <w:b/>
      <w:bCs/>
      <w:sz w:val="24"/>
      <w:szCs w:val="24"/>
    </w:rPr>
  </w:style>
  <w:style w:type="paragraph" w:styleId="692">
    <w:name w:val="Heading 6"/>
    <w:basedOn w:val="859"/>
    <w:next w:val="859"/>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link w:val="692"/>
    <w:uiPriority w:val="9"/>
    <w:rPr>
      <w:rFonts w:ascii="Arial" w:hAnsi="Arial" w:eastAsia="Arial" w:cs="Arial"/>
      <w:b/>
      <w:bCs/>
      <w:sz w:val="22"/>
      <w:szCs w:val="22"/>
    </w:rPr>
  </w:style>
  <w:style w:type="paragraph" w:styleId="694">
    <w:name w:val="Heading 7"/>
    <w:basedOn w:val="859"/>
    <w:next w:val="859"/>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link w:val="694"/>
    <w:uiPriority w:val="9"/>
    <w:rPr>
      <w:rFonts w:ascii="Arial" w:hAnsi="Arial" w:eastAsia="Arial" w:cs="Arial"/>
      <w:b/>
      <w:bCs/>
      <w:i/>
      <w:iCs/>
      <w:sz w:val="22"/>
      <w:szCs w:val="22"/>
    </w:rPr>
  </w:style>
  <w:style w:type="paragraph" w:styleId="696">
    <w:name w:val="Heading 8"/>
    <w:basedOn w:val="859"/>
    <w:next w:val="859"/>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link w:val="696"/>
    <w:uiPriority w:val="9"/>
    <w:rPr>
      <w:rFonts w:ascii="Arial" w:hAnsi="Arial" w:eastAsia="Arial" w:cs="Arial"/>
      <w:i/>
      <w:iCs/>
      <w:sz w:val="22"/>
      <w:szCs w:val="22"/>
    </w:rPr>
  </w:style>
  <w:style w:type="paragraph" w:styleId="698">
    <w:name w:val="Heading 9"/>
    <w:basedOn w:val="859"/>
    <w:next w:val="859"/>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link w:val="698"/>
    <w:uiPriority w:val="9"/>
    <w:rPr>
      <w:rFonts w:ascii="Arial" w:hAnsi="Arial" w:eastAsia="Arial" w:cs="Arial"/>
      <w:i/>
      <w:iCs/>
      <w:sz w:val="21"/>
      <w:szCs w:val="21"/>
    </w:rPr>
  </w:style>
  <w:style w:type="paragraph" w:styleId="700">
    <w:name w:val="No Spacing"/>
    <w:uiPriority w:val="1"/>
    <w:qFormat/>
    <w:pPr>
      <w:spacing w:before="0" w:after="0" w:line="240" w:lineRule="auto"/>
    </w:pPr>
  </w:style>
  <w:style w:type="paragraph" w:styleId="701">
    <w:name w:val="Title"/>
    <w:basedOn w:val="859"/>
    <w:next w:val="859"/>
    <w:link w:val="702"/>
    <w:uiPriority w:val="10"/>
    <w:qFormat/>
    <w:pPr>
      <w:contextualSpacing/>
      <w:spacing w:before="300" w:after="200"/>
    </w:pPr>
    <w:rPr>
      <w:sz w:val="48"/>
      <w:szCs w:val="48"/>
    </w:rPr>
  </w:style>
  <w:style w:type="character" w:styleId="702">
    <w:name w:val="Title Char"/>
    <w:link w:val="701"/>
    <w:uiPriority w:val="10"/>
    <w:rPr>
      <w:sz w:val="48"/>
      <w:szCs w:val="48"/>
    </w:rPr>
  </w:style>
  <w:style w:type="paragraph" w:styleId="703">
    <w:name w:val="Subtitle"/>
    <w:basedOn w:val="859"/>
    <w:next w:val="859"/>
    <w:link w:val="704"/>
    <w:uiPriority w:val="11"/>
    <w:qFormat/>
    <w:pPr>
      <w:spacing w:before="200" w:after="200"/>
    </w:pPr>
    <w:rPr>
      <w:sz w:val="24"/>
      <w:szCs w:val="24"/>
    </w:rPr>
  </w:style>
  <w:style w:type="character" w:styleId="704">
    <w:name w:val="Subtitle Char"/>
    <w:link w:val="703"/>
    <w:uiPriority w:val="11"/>
    <w:rPr>
      <w:sz w:val="24"/>
      <w:szCs w:val="24"/>
    </w:rPr>
  </w:style>
  <w:style w:type="paragraph" w:styleId="705">
    <w:name w:val="Quote"/>
    <w:basedOn w:val="859"/>
    <w:next w:val="859"/>
    <w:link w:val="706"/>
    <w:uiPriority w:val="29"/>
    <w:qFormat/>
    <w:pPr>
      <w:ind w:left="720" w:right="720"/>
    </w:pPr>
    <w:rPr>
      <w:i/>
    </w:rPr>
  </w:style>
  <w:style w:type="character" w:styleId="706">
    <w:name w:val="Quote Char"/>
    <w:link w:val="705"/>
    <w:uiPriority w:val="29"/>
    <w:rPr>
      <w:i/>
    </w:rPr>
  </w:style>
  <w:style w:type="paragraph" w:styleId="707">
    <w:name w:val="Intense Quote"/>
    <w:basedOn w:val="859"/>
    <w:next w:val="859"/>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paragraph" w:styleId="709">
    <w:name w:val="Header"/>
    <w:basedOn w:val="859"/>
    <w:link w:val="710"/>
    <w:uiPriority w:val="99"/>
    <w:unhideWhenUsed/>
    <w:pPr>
      <w:spacing w:after="0" w:line="240" w:lineRule="auto"/>
      <w:tabs>
        <w:tab w:val="center" w:pos="7143" w:leader="none"/>
        <w:tab w:val="right" w:pos="14287" w:leader="none"/>
      </w:tabs>
    </w:pPr>
  </w:style>
  <w:style w:type="character" w:styleId="710">
    <w:name w:val="Header Char"/>
    <w:link w:val="709"/>
    <w:uiPriority w:val="99"/>
  </w:style>
  <w:style w:type="paragraph" w:styleId="711">
    <w:name w:val="Footer"/>
    <w:basedOn w:val="859"/>
    <w:link w:val="714"/>
    <w:uiPriority w:val="99"/>
    <w:unhideWhenUsed/>
    <w:pPr>
      <w:spacing w:after="0" w:line="240" w:lineRule="auto"/>
      <w:tabs>
        <w:tab w:val="center" w:pos="7143" w:leader="none"/>
        <w:tab w:val="right" w:pos="14287" w:leader="none"/>
      </w:tabs>
    </w:pPr>
  </w:style>
  <w:style w:type="character" w:styleId="712">
    <w:name w:val="Footer Char"/>
    <w:link w:val="711"/>
    <w:uiPriority w:val="99"/>
  </w:style>
  <w:style w:type="paragraph" w:styleId="713">
    <w:name w:val="Caption"/>
    <w:basedOn w:val="859"/>
    <w:next w:val="859"/>
    <w:uiPriority w:val="35"/>
    <w:semiHidden/>
    <w:unhideWhenUsed/>
    <w:qFormat/>
    <w:pPr>
      <w:spacing w:line="276" w:lineRule="auto"/>
    </w:pPr>
    <w:rPr>
      <w:b/>
      <w:bCs/>
      <w:color w:val="4f81bd" w:themeColor="accent1"/>
      <w:sz w:val="18"/>
      <w:szCs w:val="18"/>
    </w:rPr>
  </w:style>
  <w:style w:type="character" w:styleId="714">
    <w:name w:val="Caption Char"/>
    <w:basedOn w:val="713"/>
    <w:link w:val="711"/>
    <w:uiPriority w:val="99"/>
  </w:style>
  <w:style w:type="table" w:styleId="7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1">
    <w:name w:val="Hyperlink"/>
    <w:uiPriority w:val="99"/>
    <w:unhideWhenUsed/>
    <w:rPr>
      <w:color w:val="0000ff" w:themeColor="hyperlink"/>
      <w:u w:val="single"/>
    </w:rPr>
  </w:style>
  <w:style w:type="paragraph" w:styleId="842">
    <w:name w:val="footnote text"/>
    <w:basedOn w:val="859"/>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uiPriority w:val="99"/>
    <w:unhideWhenUsed/>
    <w:rPr>
      <w:vertAlign w:val="superscript"/>
    </w:rPr>
  </w:style>
  <w:style w:type="paragraph" w:styleId="845">
    <w:name w:val="endnote text"/>
    <w:basedOn w:val="859"/>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uiPriority w:val="99"/>
    <w:semiHidden/>
    <w:unhideWhenUsed/>
    <w:rPr>
      <w:vertAlign w:val="superscript"/>
    </w:rPr>
  </w:style>
  <w:style w:type="paragraph" w:styleId="848">
    <w:name w:val="toc 1"/>
    <w:basedOn w:val="859"/>
    <w:next w:val="859"/>
    <w:uiPriority w:val="39"/>
    <w:unhideWhenUsed/>
    <w:pPr>
      <w:ind w:left="0" w:right="0" w:firstLine="0"/>
      <w:spacing w:after="57"/>
    </w:pPr>
  </w:style>
  <w:style w:type="paragraph" w:styleId="849">
    <w:name w:val="toc 2"/>
    <w:basedOn w:val="859"/>
    <w:next w:val="859"/>
    <w:uiPriority w:val="39"/>
    <w:unhideWhenUsed/>
    <w:pPr>
      <w:ind w:left="283" w:right="0" w:firstLine="0"/>
      <w:spacing w:after="57"/>
    </w:pPr>
  </w:style>
  <w:style w:type="paragraph" w:styleId="850">
    <w:name w:val="toc 3"/>
    <w:basedOn w:val="859"/>
    <w:next w:val="859"/>
    <w:uiPriority w:val="39"/>
    <w:unhideWhenUsed/>
    <w:pPr>
      <w:ind w:left="567" w:right="0" w:firstLine="0"/>
      <w:spacing w:after="57"/>
    </w:pPr>
  </w:style>
  <w:style w:type="paragraph" w:styleId="851">
    <w:name w:val="toc 4"/>
    <w:basedOn w:val="859"/>
    <w:next w:val="859"/>
    <w:uiPriority w:val="39"/>
    <w:unhideWhenUsed/>
    <w:pPr>
      <w:ind w:left="850" w:right="0" w:firstLine="0"/>
      <w:spacing w:after="57"/>
    </w:pPr>
  </w:style>
  <w:style w:type="paragraph" w:styleId="852">
    <w:name w:val="toc 5"/>
    <w:basedOn w:val="859"/>
    <w:next w:val="859"/>
    <w:uiPriority w:val="39"/>
    <w:unhideWhenUsed/>
    <w:pPr>
      <w:ind w:left="1134" w:right="0" w:firstLine="0"/>
      <w:spacing w:after="57"/>
    </w:pPr>
  </w:style>
  <w:style w:type="paragraph" w:styleId="853">
    <w:name w:val="toc 6"/>
    <w:basedOn w:val="859"/>
    <w:next w:val="859"/>
    <w:uiPriority w:val="39"/>
    <w:unhideWhenUsed/>
    <w:pPr>
      <w:ind w:left="1417" w:right="0" w:firstLine="0"/>
      <w:spacing w:after="57"/>
    </w:pPr>
  </w:style>
  <w:style w:type="paragraph" w:styleId="854">
    <w:name w:val="toc 7"/>
    <w:basedOn w:val="859"/>
    <w:next w:val="859"/>
    <w:uiPriority w:val="39"/>
    <w:unhideWhenUsed/>
    <w:pPr>
      <w:ind w:left="1701" w:right="0" w:firstLine="0"/>
      <w:spacing w:after="57"/>
    </w:pPr>
  </w:style>
  <w:style w:type="paragraph" w:styleId="855">
    <w:name w:val="toc 8"/>
    <w:basedOn w:val="859"/>
    <w:next w:val="859"/>
    <w:uiPriority w:val="39"/>
    <w:unhideWhenUsed/>
    <w:pPr>
      <w:ind w:left="1984" w:right="0" w:firstLine="0"/>
      <w:spacing w:after="57"/>
    </w:pPr>
  </w:style>
  <w:style w:type="paragraph" w:styleId="856">
    <w:name w:val="toc 9"/>
    <w:basedOn w:val="859"/>
    <w:next w:val="859"/>
    <w:uiPriority w:val="39"/>
    <w:unhideWhenUsed/>
    <w:pPr>
      <w:ind w:left="2268" w:right="0" w:firstLine="0"/>
      <w:spacing w:after="57"/>
    </w:p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next w:val="871"/>
    <w:link w:val="859"/>
    <w:qFormat/>
    <w:pPr>
      <w:jc w:val="both"/>
      <w:widowControl w:val="off"/>
    </w:pPr>
    <w:rPr>
      <w:rFonts w:ascii="宋体" w:hAnsi="宋体" w:cs="宋体"/>
      <w:sz w:val="24"/>
      <w:szCs w:val="24"/>
      <w:lang w:val="en-US" w:eastAsia="zh-CN" w:bidi="ar-SA"/>
    </w:rPr>
  </w:style>
  <w:style w:type="paragraph" w:styleId="860">
    <w:name w:val="标题 1"/>
    <w:basedOn w:val="859"/>
    <w:next w:val="859"/>
    <w:link w:val="873"/>
    <w:qFormat/>
    <w:pPr>
      <w:ind w:left="432" w:hanging="432"/>
      <w:keepLines/>
      <w:keepNext/>
      <w:spacing w:before="340" w:after="330" w:line="578" w:lineRule="auto"/>
      <w:tabs>
        <w:tab w:val="left" w:pos="432" w:leader="none"/>
      </w:tabs>
      <w:outlineLvl w:val="0"/>
    </w:pPr>
    <w:rPr>
      <w:rFonts w:ascii="Calibri" w:hAnsi="Calibri" w:cs="Times New Roman"/>
      <w:b/>
      <w:bCs/>
      <w:sz w:val="44"/>
      <w:szCs w:val="44"/>
    </w:rPr>
  </w:style>
  <w:style w:type="paragraph" w:styleId="861">
    <w:name w:val="标题 2"/>
    <w:basedOn w:val="859"/>
    <w:next w:val="859"/>
    <w:link w:val="874"/>
    <w:qFormat/>
    <w:pPr>
      <w:ind w:left="576" w:hanging="576"/>
      <w:keepLines/>
      <w:keepNext/>
      <w:spacing w:before="260" w:after="260" w:line="416" w:lineRule="auto"/>
      <w:tabs>
        <w:tab w:val="left" w:pos="576" w:leader="none"/>
      </w:tabs>
      <w:outlineLvl w:val="1"/>
    </w:pPr>
    <w:rPr>
      <w:rFonts w:ascii="Arial" w:hAnsi="Arial" w:eastAsia="黑体" w:cs="Times New Roman"/>
      <w:b/>
      <w:bCs/>
      <w:sz w:val="32"/>
      <w:szCs w:val="32"/>
    </w:rPr>
  </w:style>
  <w:style w:type="paragraph" w:styleId="862">
    <w:name w:val="标题 3"/>
    <w:basedOn w:val="859"/>
    <w:next w:val="859"/>
    <w:link w:val="875"/>
    <w:qFormat/>
    <w:pPr>
      <w:ind w:left="720" w:hanging="720"/>
      <w:keepLines/>
      <w:keepNext/>
      <w:spacing w:before="260" w:after="260" w:line="416" w:lineRule="auto"/>
      <w:tabs>
        <w:tab w:val="left" w:pos="1080" w:leader="none"/>
      </w:tabs>
      <w:outlineLvl w:val="2"/>
    </w:pPr>
    <w:rPr>
      <w:rFonts w:ascii="Calibri" w:hAnsi="Calibri" w:cs="Times New Roman"/>
      <w:b/>
      <w:bCs/>
      <w:sz w:val="32"/>
      <w:szCs w:val="32"/>
    </w:rPr>
  </w:style>
  <w:style w:type="paragraph" w:styleId="863">
    <w:name w:val="标题 4"/>
    <w:basedOn w:val="859"/>
    <w:next w:val="877"/>
    <w:link w:val="876"/>
    <w:qFormat/>
    <w:pPr>
      <w:ind w:left="864" w:hanging="864"/>
      <w:keepLines/>
      <w:keepNext/>
      <w:spacing w:before="280" w:after="290" w:line="376" w:lineRule="auto"/>
      <w:tabs>
        <w:tab w:val="left" w:pos="1440" w:leader="none"/>
      </w:tabs>
      <w:outlineLvl w:val="3"/>
    </w:pPr>
    <w:rPr>
      <w:rFonts w:ascii="Cambria" w:hAnsi="Cambria" w:cs="Times New Roman"/>
      <w:b/>
      <w:bCs/>
      <w:sz w:val="28"/>
      <w:szCs w:val="28"/>
    </w:rPr>
  </w:style>
  <w:style w:type="paragraph" w:styleId="864">
    <w:name w:val="标题 5"/>
    <w:basedOn w:val="859"/>
    <w:next w:val="877"/>
    <w:link w:val="879"/>
    <w:qFormat/>
    <w:pPr>
      <w:ind w:left="1008" w:hanging="1008"/>
      <w:keepLines/>
      <w:keepNext/>
      <w:spacing w:before="280" w:after="290" w:line="376" w:lineRule="auto"/>
      <w:tabs>
        <w:tab w:val="left" w:pos="1800" w:leader="none"/>
      </w:tabs>
      <w:outlineLvl w:val="4"/>
    </w:pPr>
    <w:rPr>
      <w:rFonts w:cs="Times New Roman"/>
      <w:b/>
      <w:bCs/>
      <w:sz w:val="28"/>
      <w:szCs w:val="28"/>
    </w:rPr>
  </w:style>
  <w:style w:type="paragraph" w:styleId="865">
    <w:name w:val="标题 6"/>
    <w:basedOn w:val="859"/>
    <w:next w:val="877"/>
    <w:link w:val="880"/>
    <w:qFormat/>
    <w:pPr>
      <w:ind w:left="1152" w:hanging="1152"/>
      <w:keepLines/>
      <w:keepNext/>
      <w:spacing w:before="240" w:after="64" w:line="320" w:lineRule="auto"/>
      <w:tabs>
        <w:tab w:val="left" w:pos="1152" w:leader="none"/>
      </w:tabs>
      <w:outlineLvl w:val="5"/>
    </w:pPr>
    <w:rPr>
      <w:rFonts w:ascii="Cambria" w:hAnsi="Cambria" w:cs="Times New Roman"/>
      <w:b/>
      <w:bCs/>
    </w:rPr>
  </w:style>
  <w:style w:type="paragraph" w:styleId="866">
    <w:name w:val="标题 7"/>
    <w:basedOn w:val="859"/>
    <w:next w:val="877"/>
    <w:link w:val="881"/>
    <w:qFormat/>
    <w:pPr>
      <w:ind w:left="1296" w:hanging="1296"/>
      <w:keepLines/>
      <w:keepNext/>
      <w:spacing w:before="240" w:after="64" w:line="320" w:lineRule="auto"/>
      <w:tabs>
        <w:tab w:val="left" w:pos="1296" w:leader="none"/>
      </w:tabs>
      <w:outlineLvl w:val="6"/>
    </w:pPr>
    <w:rPr>
      <w:rFonts w:cs="Times New Roman"/>
      <w:b/>
      <w:bCs/>
    </w:rPr>
  </w:style>
  <w:style w:type="paragraph" w:styleId="867">
    <w:name w:val="标题 8"/>
    <w:basedOn w:val="859"/>
    <w:next w:val="877"/>
    <w:link w:val="882"/>
    <w:qFormat/>
    <w:pPr>
      <w:ind w:left="1440" w:hanging="1440"/>
      <w:keepLines/>
      <w:keepNext/>
      <w:spacing w:before="240" w:after="64" w:line="320" w:lineRule="auto"/>
      <w:tabs>
        <w:tab w:val="left" w:pos="1440" w:leader="none"/>
      </w:tabs>
      <w:outlineLvl w:val="7"/>
    </w:pPr>
    <w:rPr>
      <w:rFonts w:ascii="Cambria" w:hAnsi="Cambria" w:cs="Times New Roman"/>
    </w:rPr>
  </w:style>
  <w:style w:type="paragraph" w:styleId="868">
    <w:name w:val="标题 9"/>
    <w:basedOn w:val="859"/>
    <w:next w:val="877"/>
    <w:link w:val="883"/>
    <w:qFormat/>
    <w:pPr>
      <w:ind w:left="1584" w:hanging="1584"/>
      <w:keepLines/>
      <w:keepNext/>
      <w:spacing w:before="240" w:after="64" w:line="320" w:lineRule="auto"/>
      <w:tabs>
        <w:tab w:val="left" w:pos="1584" w:leader="none"/>
      </w:tabs>
      <w:outlineLvl w:val="8"/>
    </w:pPr>
    <w:rPr>
      <w:rFonts w:ascii="Cambria" w:hAnsi="Cambria" w:cs="Times New Roman"/>
      <w:sz w:val="20"/>
      <w:szCs w:val="21"/>
    </w:rPr>
  </w:style>
  <w:style w:type="character" w:styleId="869">
    <w:name w:val="默认段落字体"/>
    <w:next w:val="869"/>
    <w:link w:val="859"/>
    <w:rPr>
      <w:rFonts w:ascii="Calibri" w:hAnsi="Calibri" w:eastAsia="宋体" w:cs="Times New Roman"/>
    </w:rPr>
  </w:style>
  <w:style w:type="table" w:styleId="870">
    <w:name w:val="普通表格"/>
    <w:next w:val="870"/>
    <w:link w:val="859"/>
    <w:rPr>
      <w:rFonts w:ascii="Calibri" w:hAnsi="Calibri" w:eastAsia="宋体" w:cs="Times New Roman"/>
    </w:rPr>
    <w:tblPr/>
  </w:style>
  <w:style w:type="paragraph" w:styleId="871">
    <w:name w:val="正文文本"/>
    <w:basedOn w:val="859"/>
    <w:next w:val="859"/>
    <w:link w:val="872"/>
    <w:rPr>
      <w:rFonts w:cs="Times New Roman"/>
    </w:rPr>
  </w:style>
  <w:style w:type="character" w:styleId="872">
    <w:name w:val="正文文本 Char"/>
    <w:next w:val="872"/>
    <w:link w:val="871"/>
    <w:rPr>
      <w:rFonts w:ascii="宋体" w:hAnsi="宋体" w:eastAsia="宋体" w:cs="宋体"/>
      <w:sz w:val="24"/>
      <w:szCs w:val="24"/>
    </w:rPr>
  </w:style>
  <w:style w:type="character" w:styleId="873">
    <w:name w:val="标题 1 Char"/>
    <w:next w:val="873"/>
    <w:link w:val="860"/>
    <w:rPr>
      <w:rFonts w:ascii="Calibri" w:hAnsi="Calibri" w:eastAsia="宋体" w:cs="Times New Roman"/>
      <w:b/>
      <w:bCs/>
      <w:sz w:val="44"/>
      <w:szCs w:val="44"/>
    </w:rPr>
  </w:style>
  <w:style w:type="character" w:styleId="874">
    <w:name w:val="标题 2 Char"/>
    <w:next w:val="874"/>
    <w:link w:val="861"/>
    <w:rPr>
      <w:rFonts w:ascii="Arial" w:hAnsi="Arial" w:eastAsia="黑体" w:cs="Arial"/>
      <w:b/>
      <w:bCs/>
      <w:sz w:val="32"/>
      <w:szCs w:val="32"/>
    </w:rPr>
  </w:style>
  <w:style w:type="character" w:styleId="875">
    <w:name w:val="标题 3 Char"/>
    <w:next w:val="875"/>
    <w:link w:val="862"/>
    <w:rPr>
      <w:rFonts w:ascii="Calibri" w:hAnsi="Calibri" w:eastAsia="宋体" w:cs="Times New Roman"/>
      <w:b/>
      <w:bCs/>
      <w:sz w:val="32"/>
      <w:szCs w:val="32"/>
    </w:rPr>
  </w:style>
  <w:style w:type="character" w:styleId="876">
    <w:name w:val="标题 4 Char"/>
    <w:next w:val="876"/>
    <w:link w:val="863"/>
    <w:rPr>
      <w:rFonts w:ascii="Cambria" w:hAnsi="Cambria" w:eastAsia="宋体" w:cs="Times New Roman"/>
      <w:b/>
      <w:bCs/>
      <w:sz w:val="28"/>
      <w:szCs w:val="28"/>
    </w:rPr>
  </w:style>
  <w:style w:type="paragraph" w:styleId="877">
    <w:name w:val="正文缩进"/>
    <w:basedOn w:val="859"/>
    <w:next w:val="859"/>
    <w:link w:val="878"/>
    <w:qFormat/>
    <w:pPr>
      <w:ind w:firstLine="420"/>
      <w:jc w:val="left"/>
    </w:pPr>
    <w:rPr>
      <w:rFonts w:ascii="Calibri" w:hAnsi="Calibri" w:eastAsia="楷体_GB2312" w:cs="Times New Roman"/>
    </w:rPr>
  </w:style>
  <w:style w:type="character" w:styleId="878">
    <w:name w:val="正文缩进 Char"/>
    <w:next w:val="878"/>
    <w:link w:val="877"/>
    <w:qFormat/>
    <w:rPr>
      <w:rFonts w:ascii="Calibri" w:hAnsi="Calibri" w:eastAsia="楷体_GB2312" w:cs="Times New Roman"/>
      <w:sz w:val="24"/>
      <w:szCs w:val="24"/>
      <w:lang w:val="en-US" w:eastAsia="zh-CN"/>
    </w:rPr>
  </w:style>
  <w:style w:type="character" w:styleId="879">
    <w:name w:val="标题 5 Char"/>
    <w:next w:val="879"/>
    <w:link w:val="864"/>
    <w:rPr>
      <w:rFonts w:ascii="宋体" w:hAnsi="宋体" w:eastAsia="宋体" w:cs="宋体"/>
      <w:b/>
      <w:bCs/>
      <w:sz w:val="28"/>
      <w:szCs w:val="28"/>
    </w:rPr>
  </w:style>
  <w:style w:type="character" w:styleId="880">
    <w:name w:val="标题 6 Char"/>
    <w:next w:val="880"/>
    <w:link w:val="865"/>
    <w:rPr>
      <w:rFonts w:ascii="Cambria" w:hAnsi="Cambria" w:eastAsia="宋体" w:cs="Times New Roman"/>
      <w:b/>
      <w:bCs/>
      <w:sz w:val="24"/>
      <w:szCs w:val="24"/>
    </w:rPr>
  </w:style>
  <w:style w:type="character" w:styleId="881">
    <w:name w:val="标题 7 Char"/>
    <w:next w:val="881"/>
    <w:link w:val="866"/>
    <w:rPr>
      <w:rFonts w:ascii="宋体" w:hAnsi="宋体" w:eastAsia="宋体" w:cs="宋体"/>
      <w:b/>
      <w:bCs/>
      <w:sz w:val="24"/>
      <w:szCs w:val="24"/>
    </w:rPr>
  </w:style>
  <w:style w:type="character" w:styleId="882">
    <w:name w:val="标题 8 Char"/>
    <w:next w:val="882"/>
    <w:link w:val="867"/>
    <w:rPr>
      <w:rFonts w:ascii="Cambria" w:hAnsi="Cambria" w:eastAsia="宋体" w:cs="Times New Roman"/>
      <w:sz w:val="24"/>
      <w:szCs w:val="24"/>
    </w:rPr>
  </w:style>
  <w:style w:type="character" w:styleId="883">
    <w:name w:val="标题 9 Char"/>
    <w:next w:val="883"/>
    <w:link w:val="868"/>
    <w:rPr>
      <w:rFonts w:ascii="Cambria" w:hAnsi="Cambria" w:eastAsia="宋体" w:cs="Times New Roman"/>
      <w:szCs w:val="21"/>
    </w:rPr>
  </w:style>
  <w:style w:type="paragraph" w:styleId="884">
    <w:name w:val="目录 7"/>
    <w:basedOn w:val="860"/>
    <w:next w:val="859"/>
    <w:link w:val="859"/>
    <w:qFormat/>
    <w:pPr>
      <w:ind w:left="1640" w:firstLine="3784"/>
      <w:spacing w:before="0" w:after="0" w:line="360" w:lineRule="auto"/>
      <w:tabs>
        <w:tab w:val="left" w:pos="432" w:leader="none"/>
      </w:tabs>
    </w:pPr>
    <w:rPr>
      <w:rFonts w:ascii="Times New Roman" w:hAnsi="Times New Roman" w:cs="Times New Roman"/>
    </w:rPr>
  </w:style>
  <w:style w:type="paragraph" w:styleId="885">
    <w:name w:val="列表项目符号 4"/>
    <w:basedOn w:val="859"/>
    <w:next w:val="885"/>
    <w:link w:val="859"/>
    <w:pPr>
      <w:ind w:left="1620" w:hanging="360"/>
      <w:tabs>
        <w:tab w:val="left" w:pos="1620" w:leader="none"/>
      </w:tabs>
    </w:pPr>
    <w:rPr>
      <w:rFonts w:ascii="Times New Roman" w:hAnsi="Times New Roman" w:eastAsia="宋体" w:cs="Times New Roman"/>
      <w:sz w:val="21"/>
    </w:rPr>
  </w:style>
  <w:style w:type="paragraph" w:styleId="886">
    <w:name w:val="文档结构图"/>
    <w:basedOn w:val="859"/>
    <w:next w:val="886"/>
    <w:link w:val="887"/>
    <w:pPr>
      <w:jc w:val="left"/>
      <w:shd w:val="clear" w:color="auto" w:fill="000080"/>
      <w:widowControl/>
    </w:pPr>
    <w:rPr>
      <w:rFonts w:ascii="Calibri" w:hAnsi="Calibri" w:cs="Times New Roman"/>
    </w:rPr>
  </w:style>
  <w:style w:type="character" w:styleId="887">
    <w:name w:val="文档结构图 Char"/>
    <w:next w:val="887"/>
    <w:link w:val="886"/>
    <w:rPr>
      <w:rFonts w:ascii="Calibri" w:hAnsi="Calibri" w:eastAsia="宋体" w:cs="Times New Roman"/>
      <w:sz w:val="24"/>
      <w:szCs w:val="24"/>
      <w:shd w:val="clear" w:color="auto" w:fill="000080"/>
    </w:rPr>
  </w:style>
  <w:style w:type="paragraph" w:styleId="888">
    <w:name w:val="批注文字"/>
    <w:basedOn w:val="859"/>
    <w:next w:val="888"/>
    <w:link w:val="889"/>
    <w:uiPriority w:val="99"/>
    <w:pPr>
      <w:jc w:val="left"/>
    </w:pPr>
    <w:rPr>
      <w:rFonts w:cs="Times New Roman"/>
    </w:rPr>
  </w:style>
  <w:style w:type="character" w:styleId="889">
    <w:name w:val="批注文字 Char"/>
    <w:next w:val="889"/>
    <w:link w:val="888"/>
    <w:uiPriority w:val="99"/>
    <w:rPr>
      <w:rFonts w:ascii="宋体" w:hAnsi="宋体" w:eastAsia="宋体" w:cs="宋体"/>
      <w:sz w:val="24"/>
      <w:szCs w:val="24"/>
    </w:rPr>
  </w:style>
  <w:style w:type="paragraph" w:styleId="890">
    <w:name w:val="正文文本 3"/>
    <w:basedOn w:val="859"/>
    <w:next w:val="890"/>
    <w:link w:val="891"/>
    <w:pPr>
      <w:spacing w:line="500" w:lineRule="exact"/>
    </w:pPr>
    <w:rPr>
      <w:rFonts w:cs="Times New Roman"/>
      <w:sz w:val="16"/>
      <w:szCs w:val="16"/>
    </w:rPr>
  </w:style>
  <w:style w:type="character" w:styleId="891">
    <w:name w:val="正文文本 3 Char"/>
    <w:next w:val="891"/>
    <w:link w:val="890"/>
    <w:rPr>
      <w:rFonts w:ascii="宋体" w:hAnsi="宋体" w:eastAsia="宋体" w:cs="宋体"/>
      <w:sz w:val="16"/>
      <w:szCs w:val="16"/>
    </w:rPr>
  </w:style>
  <w:style w:type="paragraph" w:styleId="892">
    <w:name w:val="正文文本缩进"/>
    <w:basedOn w:val="859"/>
    <w:next w:val="859"/>
    <w:link w:val="893"/>
    <w:pPr>
      <w:ind w:firstLine="420"/>
      <w:spacing w:line="360" w:lineRule="exact"/>
    </w:pPr>
    <w:rPr>
      <w:rFonts w:cs="Times New Roman"/>
    </w:rPr>
  </w:style>
  <w:style w:type="character" w:styleId="893">
    <w:name w:val="正文文本缩进 Char"/>
    <w:next w:val="893"/>
    <w:link w:val="892"/>
    <w:rPr>
      <w:rFonts w:ascii="宋体" w:hAnsi="宋体" w:eastAsia="宋体" w:cs="宋体"/>
      <w:sz w:val="24"/>
      <w:szCs w:val="24"/>
    </w:rPr>
  </w:style>
  <w:style w:type="paragraph" w:styleId="894">
    <w:name w:val="列表 2"/>
    <w:basedOn w:val="860"/>
    <w:next w:val="884"/>
    <w:link w:val="859"/>
    <w:pPr>
      <w:contextualSpacing/>
      <w:ind w:left="100" w:hanging="200"/>
      <w:tabs>
        <w:tab w:val="left" w:pos="432" w:leader="none"/>
      </w:tabs>
    </w:pPr>
    <w:rPr>
      <w:rFonts w:ascii="Times New Roman" w:hAnsi="Times New Roman" w:eastAsia="宋体" w:cs="Times New Roman"/>
      <w:sz w:val="21"/>
    </w:rPr>
  </w:style>
  <w:style w:type="paragraph" w:styleId="895">
    <w:name w:val="文本块"/>
    <w:basedOn w:val="859"/>
    <w:next w:val="859"/>
    <w:link w:val="859"/>
    <w:pPr>
      <w:ind w:left="630" w:right="-609" w:firstLine="420"/>
      <w:spacing w:line="360" w:lineRule="auto"/>
    </w:pPr>
    <w:rPr>
      <w:rFonts w:hint="eastAsia" w:ascii="仿宋_GB2312" w:hAnsi="Times New Roman" w:eastAsia="仿宋_GB2312" w:cs="Times New Roman"/>
      <w:sz w:val="21"/>
      <w:szCs w:val="20"/>
    </w:rPr>
  </w:style>
  <w:style w:type="paragraph" w:styleId="896">
    <w:name w:val="纯文本"/>
    <w:basedOn w:val="859"/>
    <w:next w:val="896"/>
    <w:link w:val="897"/>
    <w:pPr>
      <w:jc w:val="left"/>
      <w:widowControl/>
    </w:pPr>
    <w:rPr>
      <w:rFonts w:hAnsi="Courier New" w:cs="Times New Roman"/>
      <w:sz w:val="21"/>
      <w:szCs w:val="21"/>
    </w:rPr>
  </w:style>
  <w:style w:type="character" w:styleId="897">
    <w:name w:val="纯文本 Char"/>
    <w:next w:val="897"/>
    <w:link w:val="896"/>
    <w:rPr>
      <w:rFonts w:ascii="宋体" w:hAnsi="Courier New" w:eastAsia="宋体" w:cs="宋体"/>
      <w:sz w:val="21"/>
      <w:szCs w:val="21"/>
    </w:rPr>
  </w:style>
  <w:style w:type="paragraph" w:styleId="898">
    <w:name w:val="日期"/>
    <w:basedOn w:val="859"/>
    <w:next w:val="859"/>
    <w:link w:val="899"/>
    <w:rPr>
      <w:rFonts w:eastAsia="楷体_GB2312" w:cs="Times New Roman"/>
    </w:rPr>
  </w:style>
  <w:style w:type="character" w:styleId="899">
    <w:name w:val="日期 Char"/>
    <w:next w:val="899"/>
    <w:link w:val="898"/>
    <w:rPr>
      <w:rFonts w:ascii="宋体" w:hAnsi="宋体" w:eastAsia="楷体_GB2312" w:cs="宋体"/>
      <w:sz w:val="24"/>
      <w:szCs w:val="24"/>
    </w:rPr>
  </w:style>
  <w:style w:type="paragraph" w:styleId="900">
    <w:name w:val="正文文本缩进 2"/>
    <w:basedOn w:val="859"/>
    <w:next w:val="900"/>
    <w:link w:val="901"/>
    <w:pPr>
      <w:ind w:left="1" w:firstLine="480"/>
      <w:spacing w:line="400" w:lineRule="exact"/>
      <w:tabs>
        <w:tab w:val="left" w:pos="360" w:leader="none"/>
      </w:tabs>
    </w:pPr>
    <w:rPr>
      <w:rFonts w:cs="Times New Roman"/>
    </w:rPr>
  </w:style>
  <w:style w:type="character" w:styleId="901">
    <w:name w:val="正文文本缩进 2 Char"/>
    <w:next w:val="901"/>
    <w:link w:val="900"/>
    <w:rPr>
      <w:rFonts w:ascii="宋体" w:hAnsi="宋体" w:eastAsia="宋体" w:cs="宋体"/>
      <w:sz w:val="24"/>
      <w:szCs w:val="24"/>
    </w:rPr>
  </w:style>
  <w:style w:type="paragraph" w:styleId="902">
    <w:name w:val="批注框文本"/>
    <w:basedOn w:val="859"/>
    <w:next w:val="902"/>
    <w:link w:val="903"/>
    <w:rPr>
      <w:rFonts w:cs="Times New Roman"/>
      <w:sz w:val="16"/>
      <w:szCs w:val="16"/>
    </w:rPr>
  </w:style>
  <w:style w:type="character" w:styleId="903">
    <w:name w:val="批注框文本 Char"/>
    <w:next w:val="903"/>
    <w:link w:val="902"/>
    <w:rPr>
      <w:rFonts w:ascii="宋体" w:hAnsi="宋体" w:eastAsia="宋体" w:cs="宋体"/>
      <w:sz w:val="16"/>
      <w:szCs w:val="0"/>
    </w:rPr>
  </w:style>
  <w:style w:type="paragraph" w:styleId="904">
    <w:name w:val="页脚"/>
    <w:basedOn w:val="859"/>
    <w:next w:val="904"/>
    <w:link w:val="905"/>
    <w:pPr>
      <w:jc w:val="left"/>
      <w:tabs>
        <w:tab w:val="center" w:pos="4153" w:leader="none"/>
        <w:tab w:val="right" w:pos="8306" w:leader="none"/>
      </w:tabs>
    </w:pPr>
    <w:rPr>
      <w:rFonts w:ascii="Calibri" w:hAnsi="Calibri" w:cs="Times New Roman"/>
      <w:sz w:val="18"/>
      <w:szCs w:val="18"/>
    </w:rPr>
  </w:style>
  <w:style w:type="character" w:styleId="905">
    <w:name w:val="页脚 Char"/>
    <w:next w:val="905"/>
    <w:link w:val="904"/>
    <w:rPr>
      <w:rFonts w:ascii="Calibri" w:hAnsi="Calibri" w:eastAsia="宋体" w:cs="Times New Roman"/>
      <w:sz w:val="18"/>
      <w:szCs w:val="18"/>
    </w:rPr>
  </w:style>
  <w:style w:type="paragraph" w:styleId="906">
    <w:name w:val="寄信人地址"/>
    <w:basedOn w:val="859"/>
    <w:next w:val="906"/>
    <w:link w:val="859"/>
    <w:qFormat/>
    <w:pPr>
      <w:jc w:val="both"/>
      <w:widowControl w:val="off"/>
    </w:pPr>
    <w:rPr>
      <w:rFonts w:ascii="Arial" w:hAnsi="Arial" w:eastAsia="宋体" w:cs="Times New Roman"/>
      <w:sz w:val="21"/>
      <w:szCs w:val="24"/>
      <w:lang w:val="en-US" w:eastAsia="zh-CN" w:bidi="ar-SA"/>
    </w:rPr>
  </w:style>
  <w:style w:type="paragraph" w:styleId="907">
    <w:name w:val="页眉"/>
    <w:basedOn w:val="859"/>
    <w:next w:val="907"/>
    <w:link w:val="908"/>
    <w:pPr>
      <w:jc w:val="center"/>
      <w:tabs>
        <w:tab w:val="center" w:pos="4153" w:leader="none"/>
        <w:tab w:val="right" w:pos="8306" w:leader="none"/>
      </w:tabs>
      <w:pBdr>
        <w:bottom w:val="single" w:color="000000" w:sz="6" w:space="1"/>
      </w:pBdr>
    </w:pPr>
    <w:rPr>
      <w:rFonts w:ascii="Calibri" w:hAnsi="Calibri" w:cs="Times New Roman"/>
      <w:sz w:val="18"/>
      <w:szCs w:val="18"/>
    </w:rPr>
  </w:style>
  <w:style w:type="character" w:styleId="908">
    <w:name w:val="页眉 Char"/>
    <w:next w:val="908"/>
    <w:link w:val="907"/>
    <w:rPr>
      <w:rFonts w:ascii="Calibri" w:hAnsi="Calibri" w:eastAsia="宋体" w:cs="Times New Roman"/>
      <w:sz w:val="18"/>
      <w:szCs w:val="18"/>
    </w:rPr>
  </w:style>
  <w:style w:type="paragraph" w:styleId="909">
    <w:name w:val="目录 1"/>
    <w:basedOn w:val="859"/>
    <w:next w:val="859"/>
    <w:link w:val="859"/>
    <w:pPr>
      <w:jc w:val="left"/>
    </w:pPr>
    <w:rPr>
      <w:rFonts w:ascii="Times New Roman" w:hAnsi="Times New Roman" w:eastAsia="楷体_GB2312" w:cs="Times New Roman"/>
    </w:rPr>
  </w:style>
  <w:style w:type="paragraph" w:styleId="910">
    <w:name w:val="目录 4"/>
    <w:next w:val="859"/>
    <w:link w:val="859"/>
    <w:qFormat/>
    <w:pPr>
      <w:ind w:left="630"/>
      <w:widowControl w:val="off"/>
    </w:pPr>
    <w:rPr>
      <w:rFonts w:ascii="宋体" w:hAnsi="宋体" w:cs="宋体"/>
      <w:sz w:val="24"/>
      <w:szCs w:val="24"/>
      <w:lang w:val="en-US" w:eastAsia="zh-CN" w:bidi="ar-SA"/>
    </w:rPr>
  </w:style>
  <w:style w:type="paragraph" w:styleId="911">
    <w:name w:val="副标题"/>
    <w:basedOn w:val="859"/>
    <w:next w:val="859"/>
    <w:link w:val="912"/>
    <w:qFormat/>
    <w:pPr>
      <w:jc w:val="center"/>
      <w:spacing w:before="240" w:after="60" w:line="312" w:lineRule="auto"/>
      <w:outlineLvl w:val="1"/>
    </w:pPr>
    <w:rPr>
      <w:rFonts w:ascii="Cambria" w:hAnsi="Cambria" w:cs="Times New Roman"/>
      <w:b/>
      <w:bCs/>
      <w:sz w:val="32"/>
      <w:szCs w:val="32"/>
    </w:rPr>
  </w:style>
  <w:style w:type="character" w:styleId="912">
    <w:name w:val="副标题 Char"/>
    <w:next w:val="912"/>
    <w:link w:val="911"/>
    <w:rPr>
      <w:rFonts w:ascii="Cambria" w:hAnsi="Cambria" w:eastAsia="宋体" w:cs="Times New Roman"/>
      <w:b/>
      <w:bCs/>
      <w:sz w:val="32"/>
      <w:szCs w:val="32"/>
    </w:rPr>
  </w:style>
  <w:style w:type="paragraph" w:styleId="913">
    <w:name w:val="列表"/>
    <w:next w:val="859"/>
    <w:link w:val="859"/>
    <w:qFormat/>
    <w:pPr>
      <w:ind w:left="200" w:hanging="200"/>
    </w:pPr>
    <w:rPr>
      <w:rFonts w:ascii="等线" w:hAnsi="等线" w:cs="宋体"/>
      <w:szCs w:val="21"/>
      <w:lang w:val="en-US" w:eastAsia="zh-CN" w:bidi="ar-SA"/>
    </w:rPr>
  </w:style>
  <w:style w:type="paragraph" w:styleId="914">
    <w:name w:val="脚注文本"/>
    <w:basedOn w:val="859"/>
    <w:next w:val="895"/>
    <w:link w:val="915"/>
    <w:pPr>
      <w:jc w:val="left"/>
    </w:pPr>
    <w:rPr>
      <w:rFonts w:ascii="Calibri" w:hAnsi="Calibri" w:cs="Times New Roman"/>
      <w:sz w:val="18"/>
      <w:szCs w:val="18"/>
    </w:rPr>
  </w:style>
  <w:style w:type="character" w:styleId="915">
    <w:name w:val="脚注文本 Char"/>
    <w:next w:val="915"/>
    <w:link w:val="914"/>
    <w:rPr>
      <w:rFonts w:ascii="Calibri" w:hAnsi="Calibri" w:eastAsia="宋体" w:cs="Times New Roman"/>
      <w:sz w:val="18"/>
      <w:szCs w:val="18"/>
    </w:rPr>
  </w:style>
  <w:style w:type="paragraph" w:styleId="916">
    <w:name w:val="正文文本缩进 3"/>
    <w:basedOn w:val="859"/>
    <w:next w:val="916"/>
    <w:link w:val="917"/>
    <w:pPr>
      <w:ind w:firstLine="480"/>
      <w:spacing w:line="400" w:lineRule="exact"/>
    </w:pPr>
    <w:rPr>
      <w:rFonts w:hint="eastAsia" w:cs="Times New Roman"/>
      <w:sz w:val="16"/>
      <w:szCs w:val="16"/>
    </w:rPr>
  </w:style>
  <w:style w:type="character" w:styleId="917">
    <w:name w:val="正文文本缩进 3 Char1"/>
    <w:next w:val="917"/>
    <w:link w:val="916"/>
    <w:rPr>
      <w:rFonts w:hint="eastAsia" w:ascii="宋体" w:hAnsi="宋体" w:eastAsia="宋体" w:cs="Times New Roman"/>
      <w:sz w:val="16"/>
      <w:szCs w:val="16"/>
    </w:rPr>
  </w:style>
  <w:style w:type="paragraph" w:styleId="918">
    <w:name w:val="正文文本 2"/>
    <w:basedOn w:val="859"/>
    <w:next w:val="918"/>
    <w:link w:val="919"/>
    <w:pPr>
      <w:spacing w:after="120" w:line="480" w:lineRule="auto"/>
    </w:pPr>
    <w:rPr>
      <w:rFonts w:cs="Times New Roman"/>
    </w:rPr>
  </w:style>
  <w:style w:type="character" w:styleId="919">
    <w:name w:val="正文文本 2 Char"/>
    <w:next w:val="919"/>
    <w:link w:val="918"/>
    <w:rPr>
      <w:rFonts w:ascii="宋体" w:hAnsi="宋体" w:eastAsia="宋体" w:cs="宋体"/>
      <w:sz w:val="24"/>
      <w:szCs w:val="24"/>
    </w:rPr>
  </w:style>
  <w:style w:type="paragraph" w:styleId="920">
    <w:name w:val="普通(网站)"/>
    <w:basedOn w:val="859"/>
    <w:next w:val="894"/>
    <w:link w:val="859"/>
    <w:uiPriority w:val="99"/>
    <w:qFormat/>
    <w:pPr>
      <w:ind w:left="15" w:right="15"/>
      <w:jc w:val="left"/>
      <w:spacing w:before="60" w:after="60" w:line="312" w:lineRule="auto"/>
      <w:widowControl/>
    </w:pPr>
    <w:rPr>
      <w:rFonts w:ascii="Arial Unicode MS" w:hAnsi="Arial Unicode MS" w:eastAsia="宋体" w:cs="Arial Unicode MS"/>
    </w:rPr>
  </w:style>
  <w:style w:type="paragraph" w:styleId="921">
    <w:name w:val="标题"/>
    <w:basedOn w:val="859"/>
    <w:next w:val="859"/>
    <w:link w:val="922"/>
    <w:qFormat/>
    <w:pPr>
      <w:jc w:val="center"/>
      <w:spacing w:before="240" w:after="60"/>
      <w:outlineLvl w:val="0"/>
    </w:pPr>
    <w:rPr>
      <w:rFonts w:ascii="Cambria" w:hAnsi="Cambria" w:cs="Times New Roman"/>
      <w:b/>
      <w:bCs/>
      <w:sz w:val="32"/>
      <w:szCs w:val="32"/>
    </w:rPr>
  </w:style>
  <w:style w:type="character" w:styleId="922">
    <w:name w:val="标题 Char"/>
    <w:next w:val="922"/>
    <w:link w:val="921"/>
    <w:rPr>
      <w:rFonts w:ascii="Cambria" w:hAnsi="Cambria" w:eastAsia="宋体" w:cs="Times New Roman"/>
      <w:b/>
      <w:bCs/>
      <w:sz w:val="32"/>
      <w:szCs w:val="32"/>
    </w:rPr>
  </w:style>
  <w:style w:type="paragraph" w:styleId="923">
    <w:name w:val="批注主题"/>
    <w:basedOn w:val="888"/>
    <w:next w:val="888"/>
    <w:link w:val="924"/>
    <w:pPr>
      <w:widowControl/>
    </w:pPr>
    <w:rPr>
      <w:rFonts w:ascii="Calibri" w:hAnsi="Calibri"/>
      <w:b/>
      <w:bCs/>
    </w:rPr>
  </w:style>
  <w:style w:type="character" w:styleId="924">
    <w:name w:val="批注主题 Char"/>
    <w:next w:val="924"/>
    <w:link w:val="923"/>
    <w:rPr>
      <w:rFonts w:ascii="Calibri" w:hAnsi="Calibri" w:eastAsia="宋体" w:cs="Times New Roman"/>
      <w:b/>
      <w:bCs/>
      <w:sz w:val="24"/>
      <w:szCs w:val="24"/>
    </w:rPr>
  </w:style>
  <w:style w:type="paragraph" w:styleId="925">
    <w:name w:val="正文首行缩进"/>
    <w:basedOn w:val="871"/>
    <w:next w:val="925"/>
    <w:link w:val="926"/>
    <w:pPr>
      <w:ind w:firstLine="420"/>
      <w:spacing w:after="120"/>
    </w:pPr>
  </w:style>
  <w:style w:type="character" w:styleId="926">
    <w:name w:val="正文首行缩进 Char"/>
    <w:next w:val="926"/>
    <w:link w:val="925"/>
    <w:rPr>
      <w:rFonts w:ascii="宋体" w:hAnsi="宋体" w:eastAsia="宋体" w:cs="宋体"/>
      <w:sz w:val="24"/>
      <w:szCs w:val="24"/>
    </w:rPr>
  </w:style>
  <w:style w:type="paragraph" w:styleId="927">
    <w:name w:val="正文首行缩进 2"/>
    <w:basedOn w:val="892"/>
    <w:next w:val="859"/>
    <w:link w:val="859"/>
    <w:pPr>
      <w:ind w:left="420" w:firstLine="420"/>
      <w:spacing w:after="120" w:line="240" w:lineRule="auto"/>
    </w:pPr>
    <w:rPr>
      <w:sz w:val="21"/>
      <w:szCs w:val="24"/>
    </w:rPr>
  </w:style>
  <w:style w:type="table" w:styleId="928">
    <w:name w:val="网格型"/>
    <w:basedOn w:val="870"/>
    <w:next w:val="928"/>
    <w:link w:val="859"/>
    <w:pPr>
      <w:jc w:val="both"/>
      <w:widowControl w:val="off"/>
    </w:pPr>
    <w:rPr>
      <w:rFonts w:ascii="Calibri" w:hAnsi="Calibri" w:eastAsia="宋体" w:cs="Times New Roman"/>
    </w:rPr>
    <w:tblPr/>
  </w:style>
  <w:style w:type="character" w:styleId="929">
    <w:name w:val="要点"/>
    <w:next w:val="929"/>
    <w:link w:val="859"/>
    <w:qFormat/>
    <w:rPr>
      <w:rFonts w:ascii="Calibri" w:hAnsi="Calibri" w:eastAsia="宋体" w:cs="Times New Roman"/>
      <w:b/>
      <w:bCs/>
    </w:rPr>
  </w:style>
  <w:style w:type="character" w:styleId="930">
    <w:name w:val="页码"/>
    <w:next w:val="930"/>
    <w:link w:val="859"/>
    <w:rPr>
      <w:rFonts w:ascii="Calibri" w:hAnsi="Calibri" w:eastAsia="宋体" w:cs="Times New Roman"/>
    </w:rPr>
  </w:style>
  <w:style w:type="character" w:styleId="931">
    <w:name w:val="已访问的超链接"/>
    <w:next w:val="931"/>
    <w:link w:val="859"/>
    <w:rPr>
      <w:rFonts w:ascii="Calibri" w:hAnsi="Calibri" w:eastAsia="宋体" w:cs="Times New Roman"/>
      <w:color w:val="800080"/>
      <w:u w:val="none"/>
    </w:rPr>
  </w:style>
  <w:style w:type="character" w:styleId="932">
    <w:name w:val="强调"/>
    <w:next w:val="932"/>
    <w:link w:val="859"/>
    <w:uiPriority w:val="20"/>
    <w:qFormat/>
    <w:rPr>
      <w:rFonts w:ascii="Calibri" w:hAnsi="Calibri" w:eastAsia="宋体" w:cs="Times New Roman"/>
      <w:i w:val="0"/>
    </w:rPr>
  </w:style>
  <w:style w:type="character" w:styleId="933">
    <w:name w:val="超链接"/>
    <w:next w:val="933"/>
    <w:link w:val="859"/>
    <w:rPr>
      <w:rFonts w:ascii="Calibri" w:hAnsi="Calibri" w:eastAsia="宋体" w:cs="Times New Roman"/>
      <w:color w:val="333333"/>
      <w:u w:val="none"/>
    </w:rPr>
  </w:style>
  <w:style w:type="character" w:styleId="934">
    <w:name w:val="批注引用"/>
    <w:next w:val="934"/>
    <w:link w:val="859"/>
    <w:uiPriority w:val="99"/>
    <w:rPr>
      <w:rFonts w:ascii="Calibri" w:hAnsi="Calibri" w:eastAsia="宋体" w:cs="Times New Roman"/>
      <w:sz w:val="21"/>
      <w:szCs w:val="21"/>
    </w:rPr>
  </w:style>
  <w:style w:type="character" w:styleId="935">
    <w:name w:val="HTML 引文"/>
    <w:next w:val="935"/>
    <w:link w:val="859"/>
    <w:rPr>
      <w:rFonts w:ascii="Calibri" w:hAnsi="Calibri" w:eastAsia="宋体" w:cs="Times New Roman"/>
      <w:i w:val="0"/>
      <w:color w:val="008000"/>
      <w:szCs w:val="20"/>
    </w:rPr>
  </w:style>
  <w:style w:type="character" w:styleId="936">
    <w:name w:val="badepic"/>
    <w:next w:val="936"/>
    <w:link w:val="859"/>
    <w:rPr>
      <w:rFonts w:ascii="Calibri" w:hAnsi="Calibri" w:eastAsia="宋体" w:cs="Times New Roman"/>
    </w:rPr>
  </w:style>
  <w:style w:type="character" w:styleId="937">
    <w:name w:val="lh151"/>
    <w:next w:val="937"/>
    <w:link w:val="859"/>
    <w:rPr>
      <w:rFonts w:ascii="Calibri" w:hAnsi="Calibri" w:eastAsia="宋体" w:cs="Times New Roman"/>
      <w:color w:val="000000"/>
    </w:rPr>
  </w:style>
  <w:style w:type="character" w:styleId="938">
    <w:name w:val="副标题 Char1"/>
    <w:next w:val="938"/>
    <w:link w:val="859"/>
    <w:rPr>
      <w:rFonts w:ascii="Cambria" w:hAnsi="Cambria" w:eastAsia="宋体" w:cs="Times New Roman"/>
      <w:b/>
      <w:bCs/>
      <w:sz w:val="32"/>
      <w:szCs w:val="32"/>
    </w:rPr>
  </w:style>
  <w:style w:type="character" w:styleId="939">
    <w:name w:val="badepic2"/>
    <w:next w:val="939"/>
    <w:link w:val="859"/>
    <w:rPr>
      <w:rFonts w:ascii="Calibri" w:hAnsi="Calibri" w:eastAsia="宋体" w:cs="Times New Roman"/>
    </w:rPr>
  </w:style>
  <w:style w:type="character" w:styleId="940">
    <w:name w:val="DT T-Body Char"/>
    <w:next w:val="940"/>
    <w:link w:val="941"/>
    <w:rPr>
      <w:rFonts w:ascii="Trebuchet MS" w:hAnsi="Trebuchet MS"/>
      <w:sz w:val="22"/>
      <w:szCs w:val="22"/>
      <w:lang w:val="en-GB" w:eastAsia="en-US" w:bidi="ar-SA"/>
    </w:rPr>
  </w:style>
  <w:style w:type="paragraph" w:styleId="941">
    <w:name w:val="DT T-Body"/>
    <w:next w:val="941"/>
    <w:link w:val="940"/>
    <w:pPr>
      <w:spacing w:before="60" w:after="60" w:line="300" w:lineRule="auto"/>
    </w:pPr>
    <w:rPr>
      <w:rFonts w:ascii="Trebuchet MS" w:hAnsi="Trebuchet MS"/>
      <w:sz w:val="22"/>
      <w:szCs w:val="22"/>
      <w:lang w:val="en-GB" w:eastAsia="en-US" w:bidi="ar-SA"/>
    </w:rPr>
  </w:style>
  <w:style w:type="character" w:styleId="942">
    <w:name w:val="Table Text Char1"/>
    <w:next w:val="942"/>
    <w:link w:val="943"/>
    <w:rPr>
      <w:rFonts w:ascii="Arial" w:hAnsi="Arial" w:cs="Arial"/>
      <w:sz w:val="18"/>
      <w:szCs w:val="18"/>
      <w:lang w:val="en-US" w:eastAsia="zh-CN" w:bidi="ar-SA"/>
    </w:rPr>
  </w:style>
  <w:style w:type="paragraph" w:styleId="943">
    <w:name w:val="Table Text"/>
    <w:next w:val="943"/>
    <w:link w:val="942"/>
    <w:pPr>
      <w:spacing w:before="80" w:after="80"/>
    </w:pPr>
    <w:rPr>
      <w:rFonts w:ascii="Arial" w:hAnsi="Arial" w:cs="Arial"/>
      <w:sz w:val="18"/>
      <w:szCs w:val="18"/>
      <w:lang w:val="en-US" w:eastAsia="zh-CN" w:bidi="ar-SA"/>
    </w:rPr>
  </w:style>
  <w:style w:type="character" w:styleId="944">
    <w:name w:val="NormalCharacter1"/>
    <w:next w:val="944"/>
    <w:link w:val="859"/>
    <w:qFormat/>
  </w:style>
  <w:style w:type="character" w:styleId="945">
    <w:name w:val="badepic3"/>
    <w:next w:val="945"/>
    <w:link w:val="859"/>
    <w:rPr>
      <w:rFonts w:ascii="Calibri" w:hAnsi="Calibri" w:eastAsia="宋体" w:cs="Times New Roman"/>
    </w:rPr>
  </w:style>
  <w:style w:type="character" w:styleId="946">
    <w:name w:val="列出段落 Char"/>
    <w:next w:val="946"/>
    <w:link w:val="947"/>
    <w:rPr>
      <w:rFonts w:ascii="Calibri" w:hAnsi="Calibri" w:eastAsia="宋体" w:cs="Calibri"/>
      <w:sz w:val="22"/>
      <w:szCs w:val="22"/>
    </w:rPr>
  </w:style>
  <w:style w:type="paragraph" w:styleId="947">
    <w:name w:val="列出段落"/>
    <w:basedOn w:val="859"/>
    <w:next w:val="947"/>
    <w:link w:val="946"/>
    <w:qFormat/>
    <w:pPr>
      <w:ind w:firstLine="420"/>
    </w:pPr>
    <w:rPr>
      <w:rFonts w:ascii="Calibri" w:hAnsi="Calibri" w:cs="Times New Roman"/>
      <w:sz w:val="22"/>
      <w:szCs w:val="22"/>
    </w:rPr>
  </w:style>
  <w:style w:type="character" w:styleId="948">
    <w:name w:val="font112"/>
    <w:next w:val="948"/>
    <w:link w:val="859"/>
    <w:qFormat/>
    <w:rPr>
      <w:rFonts w:ascii="微软雅黑" w:hAnsi="微软雅黑" w:eastAsia="微软雅黑" w:cs="微软雅黑"/>
      <w:color w:val="000000"/>
      <w:sz w:val="22"/>
      <w:szCs w:val="22"/>
      <w:u w:val="none"/>
    </w:rPr>
  </w:style>
  <w:style w:type="character" w:styleId="949">
    <w:name w:val="symbol3"/>
    <w:next w:val="949"/>
    <w:link w:val="859"/>
    <w:rPr>
      <w:rFonts w:ascii="Calibri" w:hAnsi="Calibri" w:eastAsia="宋体" w:cs="Times New Roman"/>
      <w:color w:val="000000"/>
    </w:rPr>
  </w:style>
  <w:style w:type="character" w:styleId="950">
    <w:name w:val="+正文 Char3"/>
    <w:next w:val="950"/>
    <w:link w:val="951"/>
    <w:rPr>
      <w:rFonts w:ascii="宋体" w:hAnsi="宋体" w:eastAsia="宋体" w:cs="宋体"/>
      <w:sz w:val="24"/>
      <w:szCs w:val="24"/>
    </w:rPr>
  </w:style>
  <w:style w:type="paragraph" w:styleId="951">
    <w:name w:val="+正文"/>
    <w:basedOn w:val="859"/>
    <w:next w:val="951"/>
    <w:link w:val="950"/>
    <w:pPr>
      <w:ind w:firstLine="200"/>
      <w:spacing w:line="360" w:lineRule="auto"/>
    </w:pPr>
    <w:rPr>
      <w:rFonts w:cs="Times New Roman"/>
    </w:rPr>
  </w:style>
  <w:style w:type="character" w:styleId="952">
    <w:name w:val="c-price"/>
    <w:next w:val="952"/>
    <w:link w:val="859"/>
    <w:rPr>
      <w:rFonts w:ascii="Arial" w:hAnsi="Arial" w:eastAsia="宋体" w:cs="Arial"/>
      <w:color w:val="000000"/>
      <w:sz w:val="19"/>
      <w:szCs w:val="19"/>
    </w:rPr>
  </w:style>
  <w:style w:type="character" w:styleId="953">
    <w:name w:val="正文首行缩进两字 Char"/>
    <w:next w:val="953"/>
    <w:link w:val="954"/>
    <w:rPr>
      <w:sz w:val="24"/>
      <w:szCs w:val="24"/>
      <w:lang w:val="en-US" w:eastAsia="ar-SA" w:bidi="ar-SA"/>
    </w:rPr>
  </w:style>
  <w:style w:type="paragraph" w:styleId="954">
    <w:name w:val="正文首行缩进两字"/>
    <w:next w:val="954"/>
    <w:link w:val="953"/>
    <w:pPr>
      <w:ind w:firstLine="480"/>
      <w:spacing w:after="163" w:line="300" w:lineRule="auto"/>
      <w:widowControl w:val="off"/>
    </w:pPr>
    <w:rPr>
      <w:sz w:val="24"/>
      <w:szCs w:val="24"/>
      <w:lang w:val="en-US" w:eastAsia="ar-SA" w:bidi="ar-SA"/>
    </w:rPr>
  </w:style>
  <w:style w:type="character" w:styleId="955">
    <w:name w:val="badepic5"/>
    <w:next w:val="955"/>
    <w:link w:val="859"/>
    <w:rPr>
      <w:rFonts w:ascii="Calibri" w:hAnsi="Calibri" w:eastAsia="宋体" w:cs="Times New Roman"/>
    </w:rPr>
  </w:style>
  <w:style w:type="character" w:styleId="956">
    <w:name w:val="symbol"/>
    <w:next w:val="956"/>
    <w:link w:val="859"/>
    <w:rPr>
      <w:rFonts w:ascii="微软雅黑" w:hAnsi="微软雅黑" w:eastAsia="微软雅黑" w:cs="微软雅黑"/>
      <w:color w:val="000000"/>
    </w:rPr>
  </w:style>
  <w:style w:type="character" w:styleId="957">
    <w:name w:val=" Char Char3"/>
    <w:next w:val="957"/>
    <w:link w:val="859"/>
    <w:rPr>
      <w:rFonts w:ascii="Calibri" w:hAnsi="Calibri" w:eastAsia="宋体" w:cs="Times New Roman"/>
      <w:sz w:val="24"/>
      <w:szCs w:val="24"/>
      <w:lang w:val="en-US" w:eastAsia="zh-CN" w:bidi="ar-SA"/>
    </w:rPr>
  </w:style>
  <w:style w:type="character" w:styleId="958">
    <w:name w:val="symbol1"/>
    <w:next w:val="958"/>
    <w:link w:val="859"/>
    <w:rPr>
      <w:rFonts w:ascii="Calibri" w:hAnsi="Calibri" w:eastAsia="宋体" w:cs="Times New Roman"/>
      <w:color w:val="000000"/>
    </w:rPr>
  </w:style>
  <w:style w:type="character" w:styleId="959">
    <w:name w:val="Char Char3"/>
    <w:next w:val="959"/>
    <w:link w:val="859"/>
    <w:rPr>
      <w:rFonts w:ascii="Calibri" w:hAnsi="Calibri" w:eastAsia="宋体" w:cs="Times New Roman"/>
      <w:sz w:val="24"/>
      <w:szCs w:val="24"/>
      <w:lang w:val="en-US" w:eastAsia="zh-CN" w:bidi="ar-SA"/>
    </w:rPr>
  </w:style>
  <w:style w:type="character" w:styleId="960">
    <w:name w:val="font91"/>
    <w:next w:val="960"/>
    <w:link w:val="859"/>
    <w:rPr>
      <w:rFonts w:hint="eastAsia" w:ascii="宋体" w:hAnsi="宋体" w:eastAsia="宋体" w:cs="宋体"/>
      <w:color w:val="000000"/>
      <w:sz w:val="18"/>
      <w:szCs w:val="18"/>
      <w:u w:val="none"/>
    </w:rPr>
  </w:style>
  <w:style w:type="character" w:styleId="961">
    <w:name w:val="脚注文本 Char2"/>
    <w:next w:val="961"/>
    <w:link w:val="859"/>
    <w:rPr>
      <w:rFonts w:ascii="宋体" w:hAnsi="宋体" w:eastAsia="宋体" w:cs="宋体"/>
      <w:sz w:val="18"/>
      <w:szCs w:val="18"/>
    </w:rPr>
  </w:style>
  <w:style w:type="character" w:styleId="962">
    <w:name w:val="para1"/>
    <w:next w:val="962"/>
    <w:link w:val="859"/>
    <w:rPr>
      <w:rFonts w:ascii="Arial" w:hAnsi="Arial" w:eastAsia="宋体" w:cs="Arial"/>
      <w:sz w:val="18"/>
      <w:szCs w:val="18"/>
    </w:rPr>
  </w:style>
  <w:style w:type="character" w:styleId="963">
    <w:name w:val="font01"/>
    <w:next w:val="963"/>
    <w:link w:val="859"/>
    <w:rPr>
      <w:rFonts w:ascii="宋体" w:hAnsi="宋体" w:eastAsia="宋体" w:cs="宋体"/>
      <w:color w:val="000000"/>
      <w:sz w:val="20"/>
      <w:szCs w:val="20"/>
      <w:u w:val="none"/>
    </w:rPr>
  </w:style>
  <w:style w:type="character" w:styleId="964">
    <w:name w:val="默认段落字体1"/>
    <w:next w:val="964"/>
    <w:link w:val="859"/>
    <w:uiPriority w:val="1"/>
    <w:unhideWhenUsed/>
    <w:qFormat/>
    <w:rPr>
      <w:rFonts w:ascii="Calibri" w:hAnsi="Calibri" w:eastAsia="宋体" w:cs="Times New Roman"/>
      <w:sz w:val="21"/>
      <w:szCs w:val="22"/>
      <w:lang w:val="en-US" w:eastAsia="zh-CN" w:bidi="ar-SA"/>
    </w:rPr>
  </w:style>
  <w:style w:type="character" w:styleId="965">
    <w:name w:val="font11"/>
    <w:next w:val="965"/>
    <w:link w:val="859"/>
    <w:rPr>
      <w:rFonts w:ascii="Times New Roman" w:hAnsi="Times New Roman" w:eastAsia="宋体" w:cs="Times New Roman"/>
      <w:i w:val="0"/>
      <w:color w:val="000000"/>
      <w:sz w:val="20"/>
      <w:szCs w:val="20"/>
      <w:u w:val="none"/>
    </w:rPr>
  </w:style>
  <w:style w:type="character" w:styleId="966">
    <w:name w:val="标题 4 字符,GH-4 字符"/>
    <w:next w:val="966"/>
    <w:link w:val="859"/>
    <w:uiPriority w:val="9"/>
    <w:rPr>
      <w:rFonts w:ascii="等线 Light" w:hAnsi="等线 Light" w:eastAsia="宋体" w:cs="Times New Roman"/>
      <w:b/>
      <w:iCs/>
      <w:color w:val="000000"/>
    </w:rPr>
  </w:style>
  <w:style w:type="character" w:styleId="967">
    <w:name w:val="文档结构图 Char1"/>
    <w:next w:val="967"/>
    <w:link w:val="859"/>
    <w:rPr>
      <w:rFonts w:ascii="宋体" w:hAnsi="宋体" w:eastAsia="宋体" w:cs="宋体"/>
      <w:sz w:val="18"/>
      <w:szCs w:val="18"/>
    </w:rPr>
  </w:style>
  <w:style w:type="character" w:styleId="968">
    <w:name w:val="默认段落字体12"/>
    <w:next w:val="968"/>
    <w:link w:val="859"/>
    <w:uiPriority w:val="1"/>
    <w:unhideWhenUsed/>
    <w:qFormat/>
  </w:style>
  <w:style w:type="character" w:styleId="969">
    <w:name w:val="正文文本缩进 3 Char"/>
    <w:next w:val="969"/>
    <w:link w:val="859"/>
    <w:rPr>
      <w:rFonts w:ascii="Calibri" w:hAnsi="Calibri" w:eastAsia="宋体" w:cs="Times New Roman"/>
      <w:sz w:val="24"/>
      <w:szCs w:val="24"/>
    </w:rPr>
  </w:style>
  <w:style w:type="character" w:styleId="970">
    <w:name w:val="font71"/>
    <w:next w:val="970"/>
    <w:link w:val="859"/>
    <w:qFormat/>
    <w:rPr>
      <w:rFonts w:hint="eastAsia" w:ascii="宋体" w:hAnsi="宋体" w:eastAsia="宋体" w:cs="宋体"/>
      <w:color w:val="000000"/>
      <w:sz w:val="22"/>
      <w:szCs w:val="22"/>
      <w:u w:val="none"/>
    </w:rPr>
  </w:style>
  <w:style w:type="character" w:styleId="971">
    <w:name w:val="默认段落字体11"/>
    <w:next w:val="971"/>
    <w:link w:val="859"/>
    <w:uiPriority w:val="1"/>
    <w:unhideWhenUsed/>
    <w:qFormat/>
    <w:rPr>
      <w:rFonts w:ascii="宋体" w:hAnsi="宋体" w:cs="宋体"/>
      <w:sz w:val="24"/>
      <w:szCs w:val="24"/>
      <w:lang w:val="en-US" w:eastAsia="zh-CN" w:bidi="ar-SA"/>
    </w:rPr>
  </w:style>
  <w:style w:type="character" w:styleId="972">
    <w:name w:val="脚注文本 Char1"/>
    <w:next w:val="972"/>
    <w:link w:val="859"/>
    <w:rPr>
      <w:rFonts w:ascii="Calibri" w:hAnsi="Calibri" w:eastAsia="宋体" w:cs="Times New Roman"/>
      <w:sz w:val="18"/>
      <w:szCs w:val="18"/>
    </w:rPr>
  </w:style>
  <w:style w:type="character" w:styleId="973">
    <w:name w:val="样式1 Char"/>
    <w:next w:val="973"/>
    <w:link w:val="974"/>
    <w:rPr>
      <w:sz w:val="21"/>
      <w:szCs w:val="21"/>
    </w:rPr>
  </w:style>
  <w:style w:type="paragraph" w:styleId="974">
    <w:name w:val="样式1"/>
    <w:basedOn w:val="859"/>
    <w:next w:val="974"/>
    <w:link w:val="973"/>
    <w:qFormat/>
    <w:pPr>
      <w:ind w:left="709" w:hanging="709"/>
      <w:tabs>
        <w:tab w:val="left" w:pos="709" w:leader="none"/>
      </w:tabs>
    </w:pPr>
    <w:rPr>
      <w:rFonts w:ascii="Times New Roman" w:hAnsi="Times New Roman" w:cs="Times New Roman"/>
      <w:sz w:val="21"/>
      <w:szCs w:val="21"/>
    </w:rPr>
  </w:style>
  <w:style w:type="character" w:styleId="975">
    <w:name w:val="symbol2"/>
    <w:next w:val="975"/>
    <w:link w:val="859"/>
    <w:rPr>
      <w:rFonts w:ascii="微软雅黑" w:hAnsi="微软雅黑" w:eastAsia="微软雅黑" w:cs="微软雅黑"/>
      <w:color w:val="000000"/>
    </w:rPr>
  </w:style>
  <w:style w:type="character" w:styleId="976">
    <w:name w:val="图表中 居中加粗 Char"/>
    <w:next w:val="976"/>
    <w:link w:val="977"/>
    <w:rPr>
      <w:rFonts w:ascii="Calibri" w:hAnsi="Calibri" w:eastAsia="宋体" w:cs="宋体"/>
      <w:b/>
      <w:bCs/>
      <w:sz w:val="18"/>
      <w:szCs w:val="18"/>
    </w:rPr>
  </w:style>
  <w:style w:type="paragraph" w:styleId="977">
    <w:name w:val="图表中 居中加粗"/>
    <w:basedOn w:val="859"/>
    <w:next w:val="977"/>
    <w:link w:val="976"/>
    <w:pPr>
      <w:jc w:val="center"/>
      <w:spacing w:line="360" w:lineRule="auto"/>
    </w:pPr>
    <w:rPr>
      <w:rFonts w:ascii="Calibri" w:hAnsi="Calibri" w:cs="Times New Roman"/>
      <w:b/>
      <w:bCs/>
      <w:sz w:val="18"/>
      <w:szCs w:val="18"/>
    </w:rPr>
  </w:style>
  <w:style w:type="character" w:styleId="978">
    <w:name w:val="p141"/>
    <w:next w:val="978"/>
    <w:link w:val="859"/>
    <w:rPr>
      <w:rFonts w:ascii="Calibri" w:hAnsi="Calibri" w:eastAsia="宋体" w:cs="Times New Roman"/>
      <w:color w:val="000000"/>
      <w:sz w:val="28"/>
      <w:szCs w:val="28"/>
      <w:u w:val="none"/>
    </w:rPr>
  </w:style>
  <w:style w:type="character" w:styleId="979">
    <w:name w:val="font51"/>
    <w:next w:val="979"/>
    <w:link w:val="859"/>
    <w:rPr>
      <w:rFonts w:hint="eastAsia" w:ascii="宋体" w:hAnsi="宋体" w:eastAsia="宋体" w:cs="宋体"/>
      <w:i w:val="0"/>
      <w:color w:val="000000"/>
      <w:sz w:val="20"/>
      <w:szCs w:val="20"/>
      <w:u w:val="none"/>
      <w:vertAlign w:val="superscript"/>
    </w:rPr>
  </w:style>
  <w:style w:type="character" w:styleId="980">
    <w:name w:val="Char Char13"/>
    <w:next w:val="980"/>
    <w:link w:val="859"/>
    <w:rPr>
      <w:rFonts w:ascii="Calibri" w:hAnsi="Calibri" w:eastAsia="楷体_GB2312" w:cs="Times New Roman"/>
      <w:sz w:val="24"/>
      <w:szCs w:val="24"/>
      <w:lang w:val="en-US" w:eastAsia="zh-CN"/>
    </w:rPr>
  </w:style>
  <w:style w:type="character" w:styleId="981">
    <w:name w:val="font21"/>
    <w:next w:val="981"/>
    <w:link w:val="859"/>
    <w:rPr>
      <w:rFonts w:ascii="宋体" w:hAnsi="宋体" w:eastAsia="宋体" w:cs="宋体"/>
      <w:color w:val="000000"/>
      <w:sz w:val="22"/>
      <w:szCs w:val="22"/>
      <w:u w:val="none"/>
      <w:vertAlign w:val="superscript"/>
    </w:rPr>
  </w:style>
  <w:style w:type="character" w:styleId="982">
    <w:name w:val="标题 Char1"/>
    <w:next w:val="982"/>
    <w:link w:val="859"/>
    <w:rPr>
      <w:rFonts w:ascii="Cambria" w:hAnsi="Cambria" w:eastAsia="宋体" w:cs="Times New Roman"/>
      <w:b/>
      <w:bCs/>
      <w:sz w:val="32"/>
      <w:szCs w:val="32"/>
    </w:rPr>
  </w:style>
  <w:style w:type="character" w:styleId="983">
    <w:name w:val="c-price1"/>
    <w:next w:val="983"/>
    <w:link w:val="859"/>
    <w:rPr>
      <w:rFonts w:ascii="Arial" w:hAnsi="Arial" w:eastAsia="宋体" w:cs="Arial"/>
      <w:color w:val="000000"/>
      <w:sz w:val="19"/>
      <w:szCs w:val="19"/>
    </w:rPr>
  </w:style>
  <w:style w:type="character" w:styleId="984">
    <w:name w:val="批注文字 字符"/>
    <w:next w:val="984"/>
    <w:link w:val="859"/>
    <w:rPr>
      <w:rFonts w:ascii="Calibri" w:hAnsi="Calibri" w:eastAsia="宋体" w:cs="Times New Roman"/>
      <w:sz w:val="24"/>
      <w:szCs w:val="24"/>
    </w:rPr>
  </w:style>
  <w:style w:type="character" w:styleId="985">
    <w:name w:val="badepic1"/>
    <w:next w:val="985"/>
    <w:link w:val="859"/>
    <w:rPr>
      <w:rFonts w:ascii="Calibri" w:hAnsi="Calibri" w:eastAsia="宋体" w:cs="Times New Roman"/>
    </w:rPr>
  </w:style>
  <w:style w:type="character" w:styleId="986">
    <w:name w:val="批注主题 Char1"/>
    <w:next w:val="986"/>
    <w:link w:val="859"/>
    <w:rPr>
      <w:rFonts w:ascii="宋体" w:hAnsi="宋体" w:eastAsia="宋体" w:cs="宋体"/>
      <w:b/>
      <w:bCs/>
      <w:sz w:val="24"/>
      <w:szCs w:val="24"/>
    </w:rPr>
  </w:style>
  <w:style w:type="character" w:styleId="987">
    <w:name w:val="Item List Char"/>
    <w:next w:val="987"/>
    <w:link w:val="988"/>
    <w:rPr>
      <w:rFonts w:ascii="Calibri" w:hAnsi="Calibri" w:eastAsia="宋体" w:cs="Times New Roman"/>
      <w:sz w:val="21"/>
      <w:szCs w:val="24"/>
    </w:rPr>
  </w:style>
  <w:style w:type="paragraph" w:styleId="988">
    <w:name w:val="Item List"/>
    <w:basedOn w:val="859"/>
    <w:next w:val="988"/>
    <w:link w:val="987"/>
    <w:pPr>
      <w:ind w:left="1701" w:hanging="567"/>
      <w:jc w:val="left"/>
      <w:spacing w:after="50"/>
      <w:tabs>
        <w:tab w:val="left" w:pos="420" w:leader="none"/>
        <w:tab w:val="left" w:pos="1701" w:leader="none"/>
      </w:tabs>
    </w:pPr>
    <w:rPr>
      <w:rFonts w:ascii="Calibri" w:hAnsi="Calibri" w:cs="Times New Roman"/>
      <w:sz w:val="21"/>
    </w:rPr>
  </w:style>
  <w:style w:type="character" w:styleId="989">
    <w:name w:val="_正文段落 Char"/>
    <w:next w:val="989"/>
    <w:link w:val="990"/>
    <w:rPr>
      <w:rFonts w:ascii="宋体" w:hAnsi="Calibri" w:eastAsia="宋体" w:cs="宋体"/>
      <w:sz w:val="24"/>
      <w:szCs w:val="24"/>
    </w:rPr>
  </w:style>
  <w:style w:type="paragraph" w:styleId="990">
    <w:name w:val="_正文段落"/>
    <w:basedOn w:val="859"/>
    <w:next w:val="990"/>
    <w:link w:val="989"/>
    <w:pPr>
      <w:ind w:firstLine="480"/>
      <w:spacing w:line="360" w:lineRule="auto"/>
    </w:pPr>
    <w:rPr>
      <w:rFonts w:hAnsi="Calibri" w:cs="Times New Roman"/>
    </w:rPr>
  </w:style>
  <w:style w:type="character" w:styleId="991">
    <w:name w:val="badepic4"/>
    <w:next w:val="991"/>
    <w:link w:val="859"/>
    <w:rPr>
      <w:rFonts w:ascii="Calibri" w:hAnsi="Calibri" w:eastAsia="宋体" w:cs="Times New Roman"/>
    </w:rPr>
  </w:style>
  <w:style w:type="character" w:styleId="992">
    <w:name w:val="font61"/>
    <w:next w:val="992"/>
    <w:link w:val="859"/>
    <w:rPr>
      <w:rFonts w:ascii="Times New Roman" w:hAnsi="Times New Roman" w:eastAsia="宋体" w:cs="Times New Roman"/>
      <w:i w:val="0"/>
      <w:color w:val="000000"/>
      <w:sz w:val="20"/>
      <w:szCs w:val="20"/>
      <w:u w:val="none"/>
    </w:rPr>
  </w:style>
  <w:style w:type="character" w:styleId="993">
    <w:name w:val="常规 Char"/>
    <w:next w:val="993"/>
    <w:link w:val="994"/>
    <w:rPr>
      <w:rFonts w:ascii="Calibri" w:hAnsi="Calibri" w:eastAsia="宋体" w:cs="Times New Roman"/>
      <w:sz w:val="21"/>
      <w:szCs w:val="21"/>
    </w:rPr>
  </w:style>
  <w:style w:type="paragraph" w:styleId="994">
    <w:name w:val="常规"/>
    <w:basedOn w:val="859"/>
    <w:next w:val="994"/>
    <w:link w:val="993"/>
    <w:pPr>
      <w:ind w:left="1134"/>
      <w:spacing w:before="100" w:after="100"/>
    </w:pPr>
    <w:rPr>
      <w:rFonts w:ascii="Calibri" w:hAnsi="Calibri" w:cs="Times New Roman"/>
      <w:sz w:val="21"/>
      <w:szCs w:val="21"/>
    </w:rPr>
  </w:style>
  <w:style w:type="character" w:styleId="995">
    <w:name w:val="纯文本 字符"/>
    <w:next w:val="995"/>
    <w:link w:val="859"/>
    <w:rPr>
      <w:rFonts w:ascii="宋体" w:hAnsi="Courier New" w:eastAsia="宋体" w:cs="宋体"/>
      <w:sz w:val="24"/>
      <w:szCs w:val="24"/>
    </w:rPr>
  </w:style>
  <w:style w:type="character" w:styleId="996">
    <w:name w:val="s-price1"/>
    <w:next w:val="996"/>
    <w:link w:val="859"/>
    <w:rPr>
      <w:rFonts w:ascii="Calibri" w:hAnsi="Calibri" w:eastAsia="宋体" w:cs="Times New Roman"/>
      <w:color w:val="000000"/>
    </w:rPr>
  </w:style>
  <w:style w:type="character" w:styleId="997">
    <w:name w:val="font41"/>
    <w:next w:val="997"/>
    <w:link w:val="859"/>
    <w:rPr>
      <w:rFonts w:hint="eastAsia" w:ascii="微软雅黑" w:hAnsi="微软雅黑" w:eastAsia="微软雅黑" w:cs="微软雅黑"/>
      <w:i w:val="0"/>
      <w:color w:val="000000"/>
      <w:sz w:val="18"/>
      <w:szCs w:val="18"/>
      <w:u w:val="none"/>
    </w:rPr>
  </w:style>
  <w:style w:type="character" w:styleId="998">
    <w:name w:val="s-price"/>
    <w:next w:val="998"/>
    <w:link w:val="859"/>
    <w:rPr>
      <w:rFonts w:ascii="Calibri" w:hAnsi="Calibri" w:eastAsia="宋体" w:cs="Times New Roman"/>
      <w:color w:val="000000"/>
    </w:rPr>
  </w:style>
  <w:style w:type="character" w:styleId="999">
    <w:name w:val="列出段落 Char1"/>
    <w:next w:val="999"/>
    <w:link w:val="859"/>
    <w:rPr>
      <w:rFonts w:ascii="Calibri" w:hAnsi="Calibri"/>
    </w:rPr>
  </w:style>
  <w:style w:type="character" w:styleId="1000">
    <w:name w:val="样式7 Char"/>
    <w:next w:val="1000"/>
    <w:link w:val="1001"/>
    <w:rPr>
      <w:rFonts w:ascii="Cambria" w:hAnsi="Cambria" w:eastAsia="宋体" w:cs="Times New Roman"/>
      <w:b/>
      <w:bCs/>
      <w:sz w:val="28"/>
      <w:szCs w:val="28"/>
    </w:rPr>
  </w:style>
  <w:style w:type="paragraph" w:styleId="1001">
    <w:name w:val="样式7"/>
    <w:basedOn w:val="863"/>
    <w:next w:val="1001"/>
    <w:link w:val="1000"/>
    <w:pPr>
      <w:numPr>
        <w:ilvl w:val="3"/>
        <w:numId w:val="0"/>
      </w:numPr>
      <w:ind w:left="3558" w:hanging="864"/>
      <w:tabs>
        <w:tab w:val="clear" w:pos="1440" w:leader="none"/>
      </w:tabs>
    </w:pPr>
  </w:style>
  <w:style w:type="character" w:styleId="1002">
    <w:name w:val="Plain Text Char"/>
    <w:next w:val="1002"/>
    <w:link w:val="1003"/>
    <w:rPr>
      <w:rFonts w:ascii="宋体" w:hAnsi="Courier New" w:eastAsia="楷体_GB2312" w:cs="宋体"/>
      <w:sz w:val="28"/>
      <w:szCs w:val="28"/>
    </w:rPr>
  </w:style>
  <w:style w:type="paragraph" w:styleId="1003">
    <w:name w:val="纯文本1"/>
    <w:basedOn w:val="859"/>
    <w:next w:val="910"/>
    <w:link w:val="1002"/>
    <w:qFormat/>
    <w:rPr>
      <w:rFonts w:hAnsi="Courier New" w:eastAsia="楷体_GB2312" w:cs="Times New Roman"/>
      <w:sz w:val="28"/>
      <w:szCs w:val="28"/>
    </w:rPr>
  </w:style>
  <w:style w:type="character" w:styleId="1004">
    <w:name w:val="表格 Char Char"/>
    <w:next w:val="1004"/>
    <w:link w:val="1005"/>
    <w:rPr>
      <w:rFonts w:ascii="宋体" w:hAnsi="宋体" w:eastAsia="宋体" w:cs="Times New Roman"/>
    </w:rPr>
  </w:style>
  <w:style w:type="paragraph" w:styleId="1005">
    <w:name w:val="表格"/>
    <w:basedOn w:val="859"/>
    <w:next w:val="1005"/>
    <w:link w:val="1004"/>
    <w:rPr>
      <w:rFonts w:cs="Times New Roman"/>
      <w:sz w:val="20"/>
      <w:szCs w:val="20"/>
    </w:rPr>
  </w:style>
  <w:style w:type="character" w:styleId="1006">
    <w:name w:val="font31"/>
    <w:next w:val="1006"/>
    <w:link w:val="859"/>
    <w:rPr>
      <w:rFonts w:hint="eastAsia" w:ascii="宋体" w:hAnsi="宋体" w:eastAsia="宋体" w:cs="Times New Roman"/>
      <w:color w:val="000000"/>
      <w:sz w:val="20"/>
      <w:szCs w:val="20"/>
      <w:u w:val="none"/>
    </w:rPr>
  </w:style>
  <w:style w:type="character" w:styleId="1007">
    <w:name w:val="Figure Char"/>
    <w:next w:val="1007"/>
    <w:link w:val="1008"/>
    <w:rPr>
      <w:rFonts w:ascii="Calibri" w:hAnsi="Calibri" w:eastAsia="宋体" w:cs="Times New Roman"/>
      <w:sz w:val="21"/>
      <w:szCs w:val="24"/>
    </w:rPr>
  </w:style>
  <w:style w:type="paragraph" w:styleId="1008">
    <w:name w:val="Figure"/>
    <w:basedOn w:val="859"/>
    <w:next w:val="859"/>
    <w:link w:val="1007"/>
    <w:pPr>
      <w:jc w:val="center"/>
      <w:keepLines/>
      <w:keepNext/>
    </w:pPr>
    <w:rPr>
      <w:rFonts w:ascii="Calibri" w:hAnsi="Calibri" w:cs="Times New Roman"/>
      <w:sz w:val="21"/>
    </w:rPr>
  </w:style>
  <w:style w:type="character" w:styleId="1009">
    <w:name w:val="font101"/>
    <w:next w:val="1009"/>
    <w:link w:val="859"/>
    <w:qFormat/>
    <w:rPr>
      <w:rFonts w:ascii="Arial" w:hAnsi="Arial" w:eastAsia="宋体" w:cs="Arial"/>
      <w:color w:val="000000"/>
      <w:sz w:val="20"/>
      <w:szCs w:val="20"/>
      <w:u w:val="none"/>
    </w:rPr>
  </w:style>
  <w:style w:type="paragraph" w:styleId="1010">
    <w:name w:val="a1"/>
    <w:basedOn w:val="859"/>
    <w:next w:val="1010"/>
    <w:link w:val="859"/>
    <w:pPr>
      <w:jc w:val="left"/>
      <w:spacing w:before="100" w:beforeAutospacing="1" w:after="100" w:afterAutospacing="1"/>
      <w:widowControl/>
    </w:pPr>
    <w:rPr>
      <w:rFonts w:ascii="Calibri" w:hAnsi="Calibri" w:eastAsia="宋体" w:cs="Times New Roman"/>
    </w:rPr>
  </w:style>
  <w:style w:type="paragraph" w:styleId="1011">
    <w:name w:val="H-TextFormat"/>
    <w:next w:val="1011"/>
    <w:link w:val="859"/>
    <w:rPr>
      <w:rFonts w:ascii="Arial" w:hAnsi="Arial"/>
      <w:sz w:val="22"/>
      <w:lang w:val="en-GB" w:eastAsia="en-US" w:bidi="ar-SA"/>
    </w:rPr>
  </w:style>
  <w:style w:type="paragraph" w:styleId="1012">
    <w:name w:val="Char Char Char Char Char Char Char Char Char1 Char"/>
    <w:basedOn w:val="886"/>
    <w:next w:val="1012"/>
    <w:link w:val="859"/>
    <w:pPr>
      <w:jc w:val="both"/>
      <w:spacing w:line="360" w:lineRule="auto"/>
      <w:widowControl w:val="off"/>
    </w:pPr>
    <w:rPr>
      <w:rFonts w:ascii="Tahoma" w:hAnsi="Tahoma" w:eastAsia="宋体" w:cs="Times New Roman"/>
    </w:rPr>
  </w:style>
  <w:style w:type="paragraph" w:styleId="1013">
    <w:name w:val="Normal_2_0"/>
    <w:next w:val="1013"/>
    <w:link w:val="859"/>
    <w:qFormat/>
    <w:rPr>
      <w:rFonts w:eastAsia="Times New Roman"/>
      <w:sz w:val="24"/>
      <w:szCs w:val="24"/>
      <w:lang w:val="en-US" w:eastAsia="zh-CN" w:bidi="ar-SA"/>
    </w:rPr>
  </w:style>
  <w:style w:type="paragraph" w:styleId="1014">
    <w:name w:val="List Paragraph"/>
    <w:basedOn w:val="859"/>
    <w:next w:val="1014"/>
    <w:link w:val="859"/>
    <w:pPr>
      <w:ind w:firstLine="420"/>
    </w:pPr>
    <w:rPr>
      <w:rFonts w:ascii="Calibri" w:hAnsi="Calibri" w:eastAsia="宋体" w:cs="Times New Roman"/>
      <w:sz w:val="21"/>
      <w:szCs w:val="22"/>
    </w:rPr>
  </w:style>
  <w:style w:type="paragraph" w:styleId="1015">
    <w:name w:val="正文1"/>
    <w:basedOn w:val="859"/>
    <w:next w:val="859"/>
    <w:link w:val="859"/>
    <w:qFormat/>
    <w:pPr>
      <w:ind w:left="420" w:firstLine="527"/>
      <w:spacing w:before="120" w:line="360" w:lineRule="auto"/>
    </w:pPr>
    <w:rPr>
      <w:rFonts w:ascii="宋体" w:hAnsi="宋体"/>
    </w:rPr>
  </w:style>
  <w:style w:type="paragraph" w:styleId="1016">
    <w:name w:val="p0"/>
    <w:basedOn w:val="859"/>
    <w:next w:val="1016"/>
    <w:link w:val="859"/>
    <w:pPr>
      <w:widowControl/>
    </w:pPr>
    <w:rPr>
      <w:rFonts w:ascii="Times New Roman" w:hAnsi="Times New Roman" w:eastAsia="宋体" w:cs="Times New Roman"/>
      <w:sz w:val="21"/>
      <w:szCs w:val="21"/>
    </w:rPr>
  </w:style>
  <w:style w:type="paragraph" w:styleId="1017">
    <w:name w:val="1"/>
    <w:basedOn w:val="886"/>
    <w:next w:val="1017"/>
    <w:link w:val="859"/>
    <w:pPr>
      <w:spacing w:line="360" w:lineRule="auto"/>
    </w:pPr>
    <w:rPr>
      <w:rFonts w:ascii="Calibri" w:hAnsi="Calibri" w:eastAsia="宋体" w:cs="Times New Roman"/>
    </w:rPr>
  </w:style>
  <w:style w:type="paragraph" w:styleId="1018">
    <w:name w:val="正文段"/>
    <w:basedOn w:val="859"/>
    <w:next w:val="1018"/>
    <w:link w:val="859"/>
    <w:pPr>
      <w:ind w:firstLine="454"/>
      <w:spacing w:after="240" w:line="240" w:lineRule="atLeast"/>
      <w:widowControl/>
    </w:pPr>
    <w:rPr>
      <w:rFonts w:ascii="Calibri" w:hAnsi="Times New Roman" w:eastAsia="宋体" w:cs="Times New Roman"/>
    </w:rPr>
  </w:style>
  <w:style w:type="paragraph" w:styleId="1019">
    <w:name w:val="WPSOffice手动目录 1"/>
    <w:next w:val="1019"/>
    <w:link w:val="859"/>
    <w:rPr>
      <w:lang w:val="en-US" w:eastAsia="zh-CN" w:bidi="ar-SA"/>
    </w:rPr>
  </w:style>
  <w:style w:type="paragraph" w:styleId="1020">
    <w:name w:val="_Style 12"/>
    <w:basedOn w:val="886"/>
    <w:next w:val="1020"/>
    <w:link w:val="859"/>
    <w:pPr>
      <w:spacing w:line="360" w:lineRule="auto"/>
    </w:pPr>
    <w:rPr>
      <w:rFonts w:ascii="Calibri" w:hAnsi="Calibri" w:eastAsia="宋体" w:cs="Times New Roman"/>
    </w:rPr>
  </w:style>
  <w:style w:type="paragraph" w:styleId="1021">
    <w:name w:val=" Char Char Char"/>
    <w:basedOn w:val="859"/>
    <w:next w:val="1021"/>
    <w:link w:val="859"/>
    <w:pPr>
      <w:ind w:left="795" w:hanging="360"/>
      <w:tabs>
        <w:tab w:val="left" w:pos="795" w:leader="none"/>
      </w:tabs>
    </w:pPr>
    <w:rPr>
      <w:rFonts w:ascii="Times New Roman" w:hAnsi="Times New Roman" w:eastAsia="宋体" w:cs="Times New Roman"/>
    </w:rPr>
  </w:style>
  <w:style w:type="paragraph" w:styleId="1022">
    <w:name w:val=" Char Char Char Char Char Char Char Char Char1 Char"/>
    <w:basedOn w:val="886"/>
    <w:next w:val="1022"/>
    <w:link w:val="859"/>
    <w:pPr>
      <w:jc w:val="both"/>
      <w:spacing w:line="360" w:lineRule="auto"/>
      <w:widowControl w:val="off"/>
    </w:pPr>
    <w:rPr>
      <w:rFonts w:ascii="Tahoma" w:hAnsi="Tahoma" w:eastAsia="宋体" w:cs="Times New Roman"/>
    </w:rPr>
  </w:style>
  <w:style w:type="paragraph" w:styleId="1023">
    <w:name w:val="p25"/>
    <w:basedOn w:val="859"/>
    <w:next w:val="1023"/>
    <w:link w:val="859"/>
    <w:pPr>
      <w:jc w:val="left"/>
      <w:widowControl/>
    </w:pPr>
    <w:rPr>
      <w:rFonts w:ascii="Calibri" w:hAnsi="Calibri" w:eastAsia="宋体" w:cs="Times New Roman"/>
      <w:sz w:val="26"/>
      <w:szCs w:val="26"/>
    </w:rPr>
  </w:style>
  <w:style w:type="paragraph" w:styleId="1024">
    <w:name w:val="表格标题"/>
    <w:basedOn w:val="859"/>
    <w:next w:val="1024"/>
    <w:link w:val="859"/>
    <w:pPr>
      <w:jc w:val="center"/>
    </w:pPr>
    <w:rPr>
      <w:rFonts w:ascii="Calibri" w:hAnsi="Calibri" w:eastAsia="宋体" w:cs="Times New Roman"/>
      <w:b/>
      <w:bCs/>
      <w:color w:val="000000"/>
      <w:sz w:val="22"/>
      <w:szCs w:val="20"/>
    </w:rPr>
  </w:style>
  <w:style w:type="paragraph" w:styleId="1025">
    <w:name w:val="表项"/>
    <w:next w:val="859"/>
    <w:link w:val="859"/>
    <w:pPr>
      <w:jc w:val="center"/>
      <w:keepNext/>
      <w:spacing w:line="300" w:lineRule="auto"/>
    </w:pPr>
    <w:rPr>
      <w:rFonts w:ascii="Arial" w:hAnsi="Arial" w:eastAsia="黑体"/>
      <w:sz w:val="18"/>
      <w:lang w:val="en-US" w:eastAsia="zh-CN" w:bidi="ar-SA"/>
    </w:rPr>
  </w:style>
  <w:style w:type="paragraph" w:styleId="1026">
    <w:name w:val="Char Char"/>
    <w:basedOn w:val="859"/>
    <w:next w:val="1026"/>
    <w:link w:val="859"/>
    <w:rPr>
      <w:rFonts w:ascii="Times New Roman" w:hAnsi="Times New Roman" w:eastAsia="宋体" w:cs="Times New Roman"/>
      <w:sz w:val="21"/>
      <w:szCs w:val="21"/>
    </w:rPr>
  </w:style>
  <w:style w:type="paragraph" w:styleId="1027">
    <w:name w:val=" Char"/>
    <w:basedOn w:val="886"/>
    <w:next w:val="1027"/>
    <w:link w:val="859"/>
    <w:pPr>
      <w:jc w:val="both"/>
      <w:spacing w:line="360" w:lineRule="auto"/>
      <w:widowControl w:val="off"/>
    </w:pPr>
    <w:rPr>
      <w:rFonts w:ascii="Calibri" w:hAnsi="Calibri" w:eastAsia="宋体" w:cs="Times New Roman"/>
      <w:sz w:val="21"/>
    </w:rPr>
  </w:style>
  <w:style w:type="paragraph" w:styleId="1028">
    <w:name w:val="正文 New New New New New New New New New New New New New New New New New New New New New New New New New New New New New New New New New New New"/>
    <w:next w:val="1028"/>
    <w:link w:val="859"/>
    <w:pPr>
      <w:jc w:val="both"/>
      <w:widowControl w:val="off"/>
    </w:pPr>
    <w:rPr>
      <w:sz w:val="21"/>
      <w:szCs w:val="22"/>
      <w:lang w:val="en-US" w:eastAsia="zh-CN" w:bidi="ar-SA"/>
    </w:rPr>
  </w:style>
  <w:style w:type="paragraph" w:styleId="1029">
    <w:name w:val=" Char Char Char1 Char Char Char Char"/>
    <w:basedOn w:val="859"/>
    <w:next w:val="1029"/>
    <w:link w:val="859"/>
    <w:pPr>
      <w:jc w:val="left"/>
      <w:spacing w:after="160" w:line="240" w:lineRule="exact"/>
      <w:widowControl/>
    </w:pPr>
    <w:rPr>
      <w:rFonts w:ascii="Times New Roman" w:hAnsi="Times New Roman" w:eastAsia="宋体" w:cs="Times New Roman"/>
    </w:rPr>
  </w:style>
  <w:style w:type="paragraph" w:styleId="1030">
    <w:name w:val="Char"/>
    <w:basedOn w:val="859"/>
    <w:next w:val="1030"/>
    <w:link w:val="859"/>
    <w:rPr>
      <w:rFonts w:ascii="Times New Roman" w:hAnsi="Times New Roman" w:eastAsia="宋体" w:cs="Times New Roman"/>
      <w:sz w:val="21"/>
      <w:szCs w:val="21"/>
    </w:rPr>
  </w:style>
  <w:style w:type="paragraph" w:styleId="1031">
    <w:name w:val="Item Step"/>
    <w:basedOn w:val="859"/>
    <w:next w:val="1031"/>
    <w:link w:val="859"/>
    <w:pPr>
      <w:ind w:left="1554" w:hanging="420"/>
      <w:jc w:val="left"/>
      <w:spacing w:after="50"/>
      <w:widowControl/>
      <w:tabs>
        <w:tab w:val="left" w:pos="1134" w:leader="none"/>
      </w:tabs>
    </w:pPr>
    <w:rPr>
      <w:rFonts w:ascii="Times New Roman" w:hAnsi="Times New Roman" w:eastAsia="宋体" w:cs="Times New Roman"/>
      <w:sz w:val="21"/>
    </w:rPr>
  </w:style>
  <w:style w:type="paragraph" w:styleId="1032">
    <w:name w:val="Normal1"/>
    <w:next w:val="1032"/>
    <w:link w:val="859"/>
    <w:pPr>
      <w:jc w:val="both"/>
    </w:pPr>
    <w:rPr>
      <w:rFonts w:ascii="等线" w:hAnsi="等线" w:cs="宋体"/>
      <w:sz w:val="21"/>
      <w:szCs w:val="21"/>
      <w:lang w:val="en-US" w:eastAsia="zh-CN" w:bidi="ar-SA"/>
    </w:rPr>
  </w:style>
  <w:style w:type="paragraph" w:styleId="1033">
    <w:name w:val="列出段落1"/>
    <w:basedOn w:val="859"/>
    <w:next w:val="1033"/>
    <w:link w:val="859"/>
    <w:pPr>
      <w:ind w:firstLine="420"/>
    </w:pPr>
    <w:rPr>
      <w:rFonts w:ascii="Calibri" w:hAnsi="Calibri" w:eastAsia="宋体" w:cs="Calibri"/>
      <w:sz w:val="21"/>
      <w:szCs w:val="21"/>
    </w:rPr>
  </w:style>
  <w:style w:type="paragraph" w:styleId="1034">
    <w:name w:val="Plain Text1"/>
    <w:basedOn w:val="859"/>
    <w:next w:val="1034"/>
    <w:link w:val="859"/>
    <w:pPr>
      <w:jc w:val="left"/>
      <w:widowControl/>
    </w:pPr>
    <w:rPr>
      <w:rFonts w:ascii="Calibri" w:hAnsi="Courier New" w:eastAsia="楷体_GB2312" w:cs="Times New Roman"/>
      <w:sz w:val="26"/>
    </w:rPr>
  </w:style>
  <w:style w:type="paragraph" w:styleId="1035">
    <w:name w:val="p15"/>
    <w:basedOn w:val="859"/>
    <w:next w:val="1035"/>
    <w:link w:val="859"/>
    <w:pPr>
      <w:ind w:firstLine="420"/>
      <w:widowControl/>
    </w:pPr>
    <w:rPr>
      <w:rFonts w:ascii="Calibri" w:hAnsi="Calibri" w:eastAsia="宋体" w:cs="Calibri"/>
    </w:rPr>
  </w:style>
  <w:style w:type="paragraph" w:styleId="1036">
    <w:name w:val="样式 首行缩进:  1.48 厘米"/>
    <w:basedOn w:val="859"/>
    <w:next w:val="1036"/>
    <w:link w:val="859"/>
    <w:pPr>
      <w:ind w:firstLine="200"/>
      <w:spacing w:line="288" w:lineRule="auto"/>
    </w:pPr>
    <w:rPr>
      <w:rFonts w:ascii="Calibri" w:hAnsi="Times New Roman" w:eastAsia="宋体" w:cs="Times New Roman"/>
      <w:color w:val="000000"/>
      <w:sz w:val="21"/>
      <w:szCs w:val="20"/>
      <w:lang w:val="zh-CN"/>
    </w:rPr>
  </w:style>
  <w:style w:type="paragraph" w:styleId="1037">
    <w:name w:val="普通(网站)1"/>
    <w:basedOn w:val="859"/>
    <w:next w:val="1037"/>
    <w:link w:val="859"/>
    <w:uiPriority w:val="99"/>
    <w:qFormat/>
    <w:pPr>
      <w:jc w:val="left"/>
      <w:spacing w:before="100" w:beforeAutospacing="1" w:after="100" w:afterAutospacing="1"/>
      <w:widowControl/>
    </w:pPr>
    <w:rPr>
      <w:rFonts w:ascii="宋体" w:hAnsi="宋体"/>
      <w:sz w:val="24"/>
    </w:rPr>
  </w:style>
  <w:style w:type="paragraph" w:styleId="1038">
    <w:name w:val="_Style 2"/>
    <w:basedOn w:val="859"/>
    <w:next w:val="1038"/>
    <w:link w:val="859"/>
    <w:pPr>
      <w:ind w:firstLine="420"/>
      <w:jc w:val="left"/>
      <w:widowControl/>
    </w:pPr>
    <w:rPr>
      <w:rFonts w:ascii="Calibri" w:hAnsi="Calibri" w:eastAsia="宋体" w:cs="Times New Roman"/>
      <w:sz w:val="34"/>
      <w:szCs w:val="20"/>
    </w:rPr>
  </w:style>
  <w:style w:type="paragraph" w:styleId="1039">
    <w:name w:val="Normal_0_0_0"/>
    <w:next w:val="1039"/>
    <w:link w:val="859"/>
    <w:qFormat/>
    <w:rPr>
      <w:rFonts w:eastAsia="Times New Roman"/>
      <w:sz w:val="24"/>
      <w:szCs w:val="24"/>
      <w:lang w:val="en-US" w:eastAsia="zh-CN" w:bidi="ar-SA"/>
    </w:rPr>
  </w:style>
  <w:style w:type="paragraph" w:styleId="1040">
    <w:name w:val="SANGFOR_6_正文"/>
    <w:basedOn w:val="859"/>
    <w:next w:val="1040"/>
    <w:link w:val="859"/>
    <w:qFormat/>
    <w:pPr>
      <w:spacing w:line="360" w:lineRule="auto"/>
    </w:pPr>
    <w:rPr>
      <w:rFonts w:ascii="Heiti SC Light" w:hAnsi="Times New Roman" w:eastAsia="Heiti SC Light" w:cs="Times New Roman"/>
      <w:sz w:val="22"/>
    </w:rPr>
  </w:style>
  <w:style w:type="paragraph" w:styleId="1041">
    <w:name w:val="List Paragraph1"/>
    <w:basedOn w:val="859"/>
    <w:next w:val="1041"/>
    <w:link w:val="859"/>
    <w:qFormat/>
    <w:pPr>
      <w:ind w:firstLine="420"/>
    </w:pPr>
    <w:rPr>
      <w:rFonts w:ascii="Calibri" w:hAnsi="Calibri" w:cs="Times New Roman"/>
      <w:sz w:val="28"/>
      <w:szCs w:val="28"/>
    </w:rPr>
  </w:style>
  <w:style w:type="paragraph" w:styleId="1042">
    <w:name w:val="表格正文"/>
    <w:basedOn w:val="859"/>
    <w:next w:val="1042"/>
    <w:link w:val="859"/>
    <w:pPr>
      <w:jc w:val="left"/>
    </w:pPr>
    <w:rPr>
      <w:rFonts w:ascii="Calibri" w:hAnsi="Calibri" w:eastAsia="宋体" w:cs="Times New Roman"/>
      <w:color w:val="000000"/>
      <w:sz w:val="22"/>
      <w:szCs w:val="20"/>
    </w:rPr>
  </w:style>
  <w:style w:type="paragraph" w:styleId="1043">
    <w:name w:val="Char Char Char"/>
    <w:basedOn w:val="859"/>
    <w:next w:val="1043"/>
    <w:link w:val="859"/>
    <w:pPr>
      <w:ind w:left="795" w:hanging="360"/>
      <w:tabs>
        <w:tab w:val="left" w:pos="795" w:leader="none"/>
      </w:tabs>
    </w:pPr>
    <w:rPr>
      <w:rFonts w:ascii="Times New Roman" w:hAnsi="Times New Roman" w:eastAsia="宋体" w:cs="Times New Roman"/>
    </w:rPr>
  </w:style>
  <w:style w:type="paragraph" w:styleId="1044">
    <w:name w:val="列表内容"/>
    <w:basedOn w:val="859"/>
    <w:next w:val="859"/>
    <w:link w:val="859"/>
    <w:pPr>
      <w:numPr>
        <w:ilvl w:val="0"/>
        <w:numId w:val="1"/>
      </w:numPr>
      <w:jc w:val="left"/>
      <w:widowControl/>
      <w:tabs>
        <w:tab w:val="left" w:pos="420" w:leader="none"/>
        <w:tab w:val="left" w:pos="840" w:leader="none"/>
      </w:tabs>
    </w:pPr>
    <w:rPr>
      <w:rFonts w:ascii="Times New Roman" w:hAnsi="Times New Roman" w:eastAsia="宋体" w:cs="Times New Roman"/>
      <w:sz w:val="18"/>
    </w:rPr>
  </w:style>
  <w:style w:type="paragraph" w:styleId="1045">
    <w:name w:val="正文缩进111"/>
    <w:basedOn w:val="859"/>
    <w:next w:val="859"/>
    <w:link w:val="859"/>
    <w:qFormat/>
    <w:pPr>
      <w:ind w:firstLine="420"/>
    </w:pPr>
    <w:rPr>
      <w:rFonts w:ascii="Calibri" w:hAnsi="Calibri"/>
      <w:sz w:val="24"/>
    </w:rPr>
  </w:style>
  <w:style w:type="paragraph" w:styleId="1046">
    <w:name w:val="正文文本缩进1"/>
    <w:basedOn w:val="859"/>
    <w:next w:val="1046"/>
    <w:link w:val="859"/>
    <w:qFormat/>
    <w:pPr>
      <w:ind w:firstLine="645"/>
    </w:pPr>
    <w:rPr>
      <w:rFonts w:ascii="楷体_GB2312" w:hAnsi="宋体" w:eastAsia="楷体_GB2312" w:cs="宋体"/>
      <w:sz w:val="32"/>
      <w:szCs w:val="32"/>
    </w:rPr>
  </w:style>
  <w:style w:type="paragraph" w:styleId="1047">
    <w:name w:val="p17"/>
    <w:basedOn w:val="859"/>
    <w:next w:val="1047"/>
    <w:link w:val="859"/>
    <w:pPr>
      <w:ind w:firstLine="420"/>
      <w:jc w:val="left"/>
      <w:widowControl/>
    </w:pPr>
    <w:rPr>
      <w:rFonts w:ascii="Calibri" w:hAnsi="Calibri" w:eastAsia="宋体" w:cs="Times New Roman"/>
    </w:rPr>
  </w:style>
  <w:style w:type="paragraph" w:styleId="1048">
    <w:name w:val="表身（左）"/>
    <w:next w:val="1048"/>
    <w:link w:val="859"/>
    <w:pPr>
      <w:spacing w:line="300" w:lineRule="auto"/>
    </w:pPr>
    <w:rPr>
      <w:sz w:val="16"/>
      <w:lang w:val="en-US" w:eastAsia="zh-CN" w:bidi="ar-SA"/>
    </w:rPr>
  </w:style>
  <w:style w:type="paragraph" w:styleId="1049">
    <w:name w:val="纯文本11"/>
    <w:basedOn w:val="859"/>
    <w:next w:val="1049"/>
    <w:link w:val="859"/>
    <w:pPr>
      <w:jc w:val="left"/>
      <w:widowControl/>
    </w:pPr>
    <w:rPr>
      <w:rFonts w:ascii="Calibri" w:hAnsi="Courier New" w:eastAsia="宋体" w:cs="Times New Roman"/>
      <w:sz w:val="26"/>
      <w:szCs w:val="22"/>
    </w:rPr>
  </w:style>
  <w:style w:type="paragraph" w:styleId="1050">
    <w:name w:val="正文 New New New New New New New New New New New New New New New12"/>
    <w:next w:val="1050"/>
    <w:link w:val="859"/>
    <w:qFormat/>
    <w:pPr>
      <w:jc w:val="both"/>
      <w:widowControl w:val="off"/>
    </w:pPr>
    <w:rPr>
      <w:sz w:val="21"/>
      <w:szCs w:val="24"/>
      <w:lang w:val="en-US" w:eastAsia="zh-CN" w:bidi="ar-SA"/>
    </w:rPr>
  </w:style>
  <w:style w:type="paragraph" w:styleId="1051">
    <w:name w:val="Char2"/>
    <w:basedOn w:val="886"/>
    <w:next w:val="1051"/>
    <w:link w:val="859"/>
    <w:pPr>
      <w:jc w:val="both"/>
      <w:spacing w:line="360" w:lineRule="auto"/>
      <w:widowControl w:val="off"/>
    </w:pPr>
    <w:rPr>
      <w:rFonts w:ascii="Calibri" w:hAnsi="Calibri" w:eastAsia="宋体" w:cs="Times New Roman"/>
      <w:sz w:val="21"/>
    </w:rPr>
  </w:style>
  <w:style w:type="paragraph" w:styleId="1052">
    <w:name w:val="纯文本3"/>
    <w:basedOn w:val="859"/>
    <w:next w:val="1052"/>
    <w:link w:val="859"/>
    <w:rPr>
      <w:rFonts w:hAnsi="Courier New" w:eastAsia="楷体_GB2312" w:cs="Times New Roman"/>
      <w:sz w:val="26"/>
      <w:szCs w:val="26"/>
    </w:rPr>
  </w:style>
  <w:style w:type="paragraph" w:styleId="1053">
    <w:name w:val="Char Char Char Char Char Char Char Char Char1 Char1"/>
    <w:basedOn w:val="886"/>
    <w:next w:val="1053"/>
    <w:link w:val="859"/>
    <w:pPr>
      <w:jc w:val="both"/>
      <w:spacing w:line="360" w:lineRule="auto"/>
      <w:widowControl w:val="off"/>
    </w:pPr>
    <w:rPr>
      <w:rFonts w:ascii="Tahoma" w:hAnsi="Tahoma" w:eastAsia="宋体" w:cs="Times New Roman"/>
    </w:rPr>
  </w:style>
  <w:style w:type="paragraph" w:styleId="1054">
    <w:name w:val="_Style 3"/>
    <w:basedOn w:val="859"/>
    <w:next w:val="1054"/>
    <w:link w:val="859"/>
    <w:pPr>
      <w:ind w:left="795" w:hanging="360"/>
      <w:tabs>
        <w:tab w:val="left" w:pos="540" w:leader="none"/>
      </w:tabs>
    </w:pPr>
    <w:rPr>
      <w:rFonts w:ascii="Times New Roman" w:hAnsi="Times New Roman" w:eastAsia="宋体" w:cs="Times New Roman"/>
    </w:rPr>
  </w:style>
  <w:style w:type="paragraph" w:styleId="1055">
    <w:name w:val="6'"/>
    <w:basedOn w:val="859"/>
    <w:next w:val="1055"/>
    <w:link w:val="859"/>
    <w:pPr>
      <w:jc w:val="center"/>
      <w:spacing w:line="320" w:lineRule="exact"/>
    </w:pPr>
    <w:rPr>
      <w:rFonts w:ascii="Times New Roman" w:hAnsi="Times New Roman" w:eastAsia="仿宋_GB2312" w:cs="Times New Roman"/>
      <w:spacing w:val="20"/>
      <w:szCs w:val="20"/>
    </w:rPr>
  </w:style>
  <w:style w:type="paragraph" w:styleId="1056">
    <w:name w:val="a2"/>
    <w:basedOn w:val="859"/>
    <w:next w:val="1056"/>
    <w:link w:val="859"/>
    <w:pPr>
      <w:jc w:val="left"/>
      <w:spacing w:before="100" w:beforeAutospacing="1" w:after="100" w:afterAutospacing="1"/>
      <w:widowControl/>
    </w:pPr>
    <w:rPr>
      <w:rFonts w:ascii="Calibri" w:hAnsi="Calibri" w:eastAsia="宋体" w:cs="Times New Roman"/>
    </w:rPr>
  </w:style>
  <w:style w:type="paragraph" w:styleId="1057">
    <w:name w:val="Char1"/>
    <w:basedOn w:val="859"/>
    <w:next w:val="1057"/>
    <w:link w:val="859"/>
    <w:rPr>
      <w:rFonts w:ascii="Tahoma" w:hAnsi="Tahoma" w:eastAsia="宋体" w:cs="Times New Roman"/>
      <w:szCs w:val="20"/>
    </w:rPr>
  </w:style>
  <w:style w:type="paragraph" w:styleId="1058">
    <w:name w:val="表身（中）"/>
    <w:basedOn w:val="859"/>
    <w:next w:val="1058"/>
    <w:link w:val="859"/>
    <w:pPr>
      <w:jc w:val="center"/>
      <w:spacing w:line="300" w:lineRule="auto"/>
      <w:widowControl/>
    </w:pPr>
    <w:rPr>
      <w:rFonts w:ascii="Times New Roman" w:hAnsi="Times New Roman" w:eastAsia="宋体" w:cs="Times New Roman"/>
      <w:sz w:val="18"/>
      <w:szCs w:val="20"/>
    </w:rPr>
  </w:style>
  <w:style w:type="paragraph" w:styleId="1059">
    <w:name w:val="正文 A"/>
    <w:next w:val="1059"/>
    <w:link w:val="859"/>
    <w:pPr>
      <w:jc w:val="both"/>
      <w:widowControl w:val="off"/>
    </w:pPr>
    <w:rPr>
      <w:rFonts w:eastAsia="Arial Unicode MS" w:cs="Arial Unicode MS"/>
      <w:color w:val="000000"/>
      <w:sz w:val="21"/>
      <w:szCs w:val="21"/>
      <w:lang w:val="en-US" w:eastAsia="zh-CN" w:bidi="ar-SA"/>
    </w:rPr>
  </w:style>
  <w:style w:type="paragraph" w:styleId="1060">
    <w:name w:val="段"/>
    <w:next w:val="859"/>
    <w:link w:val="859"/>
    <w:qFormat/>
    <w:pPr>
      <w:ind w:firstLine="200"/>
      <w:jc w:val="both"/>
      <w:spacing w:line="360" w:lineRule="auto"/>
    </w:pPr>
    <w:rPr>
      <w:rFonts w:ascii="宋体"/>
      <w:sz w:val="24"/>
      <w:szCs w:val="22"/>
      <w:lang w:val="en-US" w:eastAsia="zh-CN" w:bidi="ar-SA"/>
    </w:rPr>
  </w:style>
  <w:style w:type="paragraph" w:styleId="1061">
    <w:name w:val="纯文本2"/>
    <w:basedOn w:val="859"/>
    <w:next w:val="1061"/>
    <w:link w:val="859"/>
    <w:qFormat/>
    <w:rPr>
      <w:rFonts w:ascii="Calibri" w:hAnsi="Courier New" w:eastAsia="楷体_GB2312" w:cs="Times New Roman"/>
      <w:sz w:val="28"/>
      <w:szCs w:val="28"/>
    </w:rPr>
  </w:style>
  <w:style w:type="paragraph" w:styleId="1062">
    <w:name w:val="Char Char1"/>
    <w:basedOn w:val="859"/>
    <w:next w:val="1062"/>
    <w:link w:val="859"/>
    <w:pPr>
      <w:jc w:val="left"/>
      <w:spacing w:after="160" w:line="240" w:lineRule="exact"/>
      <w:widowControl/>
    </w:pPr>
    <w:rPr>
      <w:rFonts w:ascii="Verdana" w:hAnsi="Verdana" w:eastAsia="宋体" w:cs="Verdana"/>
      <w:sz w:val="20"/>
      <w:szCs w:val="20"/>
      <w:lang w:eastAsia="en-US"/>
    </w:rPr>
  </w:style>
  <w:style w:type="paragraph" w:styleId="1063">
    <w:name w:val="首行缩进"/>
    <w:basedOn w:val="859"/>
    <w:next w:val="1063"/>
    <w:link w:val="859"/>
    <w:pPr>
      <w:ind w:firstLine="480"/>
    </w:pPr>
    <w:rPr>
      <w:rFonts w:ascii="Times New Roman" w:hAnsi="Times New Roman" w:eastAsia="楷体_GB2312" w:cs="Times New Roman"/>
      <w:sz w:val="26"/>
      <w:szCs w:val="26"/>
    </w:rPr>
  </w:style>
  <w:style w:type="paragraph" w:styleId="1064">
    <w:name w:val="Table Paragraph"/>
    <w:basedOn w:val="859"/>
    <w:next w:val="1064"/>
    <w:link w:val="859"/>
    <w:uiPriority w:val="1"/>
    <w:qFormat/>
    <w:pPr>
      <w:jc w:val="left"/>
    </w:pPr>
    <w:rPr>
      <w:rFonts w:ascii="Calibri" w:hAnsi="Calibri" w:cs="Times New Roman"/>
      <w:sz w:val="22"/>
      <w:szCs w:val="22"/>
      <w:lang w:eastAsia="en-US"/>
    </w:rPr>
  </w:style>
  <w:style w:type="paragraph" w:styleId="1065">
    <w:name w:val="Char Char Char1"/>
    <w:basedOn w:val="859"/>
    <w:next w:val="1065"/>
    <w:link w:val="859"/>
    <w:pPr>
      <w:ind w:left="795" w:hanging="360"/>
      <w:tabs>
        <w:tab w:val="left" w:pos="795" w:leader="none"/>
        <w:tab w:val="left" w:pos="840" w:leader="none"/>
      </w:tabs>
    </w:pPr>
    <w:rPr>
      <w:rFonts w:ascii="Times New Roman" w:hAnsi="Times New Roman" w:eastAsia="宋体" w:cs="Times New Roman"/>
      <w:sz w:val="21"/>
      <w:szCs w:val="20"/>
    </w:rPr>
  </w:style>
  <w:style w:type="paragraph" w:styleId="1066">
    <w:name w:val="Char Char Char Char"/>
    <w:basedOn w:val="886"/>
    <w:next w:val="1066"/>
    <w:link w:val="859"/>
    <w:pPr>
      <w:jc w:val="both"/>
      <w:spacing w:line="360" w:lineRule="auto"/>
      <w:widowControl w:val="off"/>
    </w:pPr>
    <w:rPr>
      <w:rFonts w:ascii="Calibri" w:hAnsi="Calibri" w:eastAsia="宋体" w:cs="Times New Roman"/>
      <w:szCs w:val="20"/>
    </w:rPr>
  </w:style>
  <w:style w:type="paragraph" w:styleId="1067">
    <w:name w:val="NormalParagraphStyle"/>
    <w:basedOn w:val="859"/>
    <w:next w:val="1067"/>
    <w:link w:val="859"/>
    <w:pPr>
      <w:spacing w:line="288" w:lineRule="auto"/>
    </w:pPr>
    <w:rPr>
      <w:rFonts w:ascii="Calibri" w:hAnsi="Times New Roman" w:eastAsia="宋体" w:cs="Times New Roman"/>
      <w:color w:val="000000"/>
      <w:lang w:val="zh-CN"/>
    </w:rPr>
  </w:style>
  <w:style w:type="paragraph" w:styleId="1068">
    <w:name w:val="CM37"/>
    <w:basedOn w:val="859"/>
    <w:next w:val="859"/>
    <w:link w:val="859"/>
    <w:pPr>
      <w:jc w:val="left"/>
      <w:spacing w:after="533"/>
    </w:pPr>
    <w:rPr>
      <w:rFonts w:ascii="Calibri" w:hAnsi="Times New Roman" w:eastAsia="宋体" w:cs="Times New Roman"/>
    </w:rPr>
  </w:style>
  <w:style w:type="paragraph" w:styleId="1069">
    <w:name w:val="正文 New New New New"/>
    <w:next w:val="1069"/>
    <w:link w:val="859"/>
    <w:pPr>
      <w:jc w:val="both"/>
      <w:widowControl w:val="off"/>
    </w:pPr>
    <w:rPr>
      <w:lang w:val="en-US" w:eastAsia="zh-CN" w:bidi="ar-SA"/>
    </w:rPr>
  </w:style>
  <w:style w:type="paragraph" w:styleId="1070">
    <w:name w:val="杨昂超式样黑体主"/>
    <w:basedOn w:val="859"/>
    <w:next w:val="1070"/>
    <w:link w:val="859"/>
    <w:rPr>
      <w:rFonts w:ascii="方正黑体简体" w:hAnsi="Times New Roman" w:eastAsia="方正黑体简体" w:cs="方正黑体简体"/>
    </w:rPr>
  </w:style>
  <w:style w:type="paragraph" w:styleId="1071">
    <w:name w:val="修订"/>
    <w:next w:val="1071"/>
    <w:link w:val="859"/>
    <w:rPr>
      <w:sz w:val="24"/>
      <w:szCs w:val="24"/>
      <w:lang w:val="en-US" w:eastAsia="zh-CN" w:bidi="ar-SA"/>
    </w:rPr>
  </w:style>
  <w:style w:type="paragraph" w:styleId="1072">
    <w:name w:val="纯文本6"/>
    <w:basedOn w:val="859"/>
    <w:next w:val="1072"/>
    <w:link w:val="859"/>
    <w:qFormat/>
    <w:rPr>
      <w:rFonts w:hAnsi="Courier New" w:eastAsia="楷体_GB2312"/>
      <w:sz w:val="26"/>
    </w:rPr>
  </w:style>
  <w:style w:type="paragraph" w:styleId="1073">
    <w:name w:val="正文 New New"/>
    <w:next w:val="1073"/>
    <w:link w:val="859"/>
    <w:pPr>
      <w:jc w:val="both"/>
      <w:widowControl w:val="off"/>
    </w:pPr>
    <w:rPr>
      <w:sz w:val="21"/>
      <w:szCs w:val="24"/>
      <w:lang w:val="en-US" w:eastAsia="zh-CN" w:bidi="ar-SA"/>
    </w:rPr>
  </w:style>
  <w:style w:type="paragraph" w:styleId="1074">
    <w:name w:val="null3"/>
    <w:next w:val="1074"/>
    <w:link w:val="859"/>
    <w:qFormat/>
    <w:rPr>
      <w:rFonts w:hint="eastAsia" w:ascii="Calibri" w:hAnsi="Calibri"/>
      <w:lang w:val="en-US" w:eastAsia="zh-CN" w:bidi="ar-SA"/>
    </w:rPr>
  </w:style>
  <w:style w:type="paragraph" w:styleId="1075">
    <w:name w:val="编号1"/>
    <w:basedOn w:val="859"/>
    <w:next w:val="1075"/>
    <w:link w:val="859"/>
    <w:pPr>
      <w:ind w:left="360" w:right="210" w:hanging="360"/>
      <w:tabs>
        <w:tab w:val="left" w:pos="360" w:leader="none"/>
      </w:tabs>
    </w:pPr>
    <w:rPr>
      <w:rFonts w:ascii="Calibri" w:hAnsi="Calibri" w:eastAsia="宋体" w:cs="Times New Roman"/>
      <w:spacing w:val="10"/>
      <w:sz w:val="21"/>
      <w:szCs w:val="21"/>
    </w:rPr>
  </w:style>
  <w:style w:type="paragraph" w:styleId="1076">
    <w:name w:val="Plain Text"/>
    <w:basedOn w:val="859"/>
    <w:next w:val="1076"/>
    <w:link w:val="859"/>
    <w:rPr>
      <w:rFonts w:ascii="Calibri" w:hAnsi="Courier New" w:eastAsia="楷体_GB2312" w:cs="Times New Roman"/>
      <w:sz w:val="26"/>
      <w:szCs w:val="20"/>
    </w:rPr>
  </w:style>
  <w:style w:type="paragraph" w:styleId="1077">
    <w:name w:val="列出段落2"/>
    <w:basedOn w:val="859"/>
    <w:next w:val="1077"/>
    <w:link w:val="859"/>
    <w:pPr>
      <w:ind w:firstLine="420"/>
    </w:pPr>
    <w:rPr>
      <w:rFonts w:ascii="Times New Roman" w:hAnsi="Times New Roman" w:eastAsia="宋体" w:cs="Times New Roman"/>
      <w:sz w:val="21"/>
      <w:szCs w:val="20"/>
    </w:rPr>
  </w:style>
  <w:style w:type="paragraph" w:styleId="1078">
    <w:name w:val="Char Char Char1 Char Char Char Char"/>
    <w:basedOn w:val="859"/>
    <w:next w:val="1078"/>
    <w:link w:val="859"/>
    <w:pPr>
      <w:jc w:val="left"/>
      <w:spacing w:after="160" w:line="240" w:lineRule="exact"/>
      <w:widowControl/>
    </w:pPr>
    <w:rPr>
      <w:rFonts w:ascii="Times New Roman" w:hAnsi="Times New Roman" w:eastAsia="宋体" w:cs="Times New Roman"/>
    </w:rPr>
  </w:style>
  <w:style w:type="paragraph" w:styleId="1079">
    <w:name w:val="MyPoints"/>
    <w:basedOn w:val="859"/>
    <w:next w:val="1079"/>
    <w:link w:val="859"/>
    <w:pPr>
      <w:ind w:left="936" w:hanging="360"/>
      <w:jc w:val="left"/>
      <w:widowControl/>
    </w:pPr>
    <w:rPr>
      <w:rFonts w:ascii="Century Gothic" w:hAnsi="Century Gothic" w:eastAsia="宋体" w:cs="Times New Roman"/>
      <w:sz w:val="20"/>
      <w:szCs w:val="20"/>
      <w:lang w:val="en-GB" w:eastAsia="en-US"/>
    </w:rPr>
  </w:style>
  <w:style w:type="paragraph" w:styleId="1080">
    <w:name w:val=" Char1"/>
    <w:basedOn w:val="859"/>
    <w:next w:val="1080"/>
    <w:link w:val="859"/>
    <w:rPr>
      <w:rFonts w:ascii="Tahoma" w:hAnsi="Tahoma" w:eastAsia="宋体" w:cs="Times New Roman"/>
      <w:szCs w:val="20"/>
    </w:rPr>
  </w:style>
  <w:style w:type="paragraph" w:styleId="1081">
    <w:name w:val="afont"/>
    <w:basedOn w:val="859"/>
    <w:next w:val="1081"/>
    <w:link w:val="859"/>
    <w:pPr>
      <w:jc w:val="left"/>
      <w:spacing w:before="100" w:after="100" w:line="285" w:lineRule="atLeast"/>
      <w:widowControl/>
    </w:pPr>
    <w:rPr>
      <w:rFonts w:ascii="Calibri" w:hAnsi="Calibri" w:eastAsia="宋体" w:cs="Times New Roman"/>
      <w:sz w:val="18"/>
      <w:szCs w:val="18"/>
    </w:rPr>
  </w:style>
  <w:style w:type="paragraph" w:styleId="1082">
    <w:name w:val="正文 New"/>
    <w:next w:val="1082"/>
    <w:link w:val="859"/>
    <w:pPr>
      <w:jc w:val="both"/>
      <w:widowControl w:val="off"/>
    </w:pPr>
    <w:rPr>
      <w:sz w:val="21"/>
      <w:szCs w:val="24"/>
      <w:lang w:val="en-US" w:eastAsia="zh-CN" w:bidi="ar-SA"/>
    </w:rPr>
  </w:style>
  <w:style w:type="paragraph" w:styleId="1083">
    <w:name w:val="Default"/>
    <w:next w:val="1083"/>
    <w:link w:val="859"/>
    <w:pPr>
      <w:widowControl w:val="off"/>
    </w:pPr>
    <w:rPr>
      <w:rFonts w:ascii="Arial Unicode MS" w:eastAsia="Times New Roman" w:cs="Arial Unicode MS"/>
      <w:color w:val="000000"/>
      <w:sz w:val="24"/>
      <w:szCs w:val="24"/>
      <w:lang w:val="en-US" w:eastAsia="zh-CN" w:bidi="ar-SA"/>
    </w:rPr>
  </w:style>
  <w:style w:type="table" w:styleId="1084">
    <w:name w:val="Table Normal"/>
    <w:next w:val="1084"/>
    <w:link w:val="859"/>
    <w:rPr>
      <w:lang w:val="en-US" w:eastAsia="zh-CN" w:bidi="ar-SA"/>
    </w:rPr>
    <w:tblPr/>
  </w:style>
  <w:style w:type="character" w:styleId="1085" w:default="1">
    <w:name w:val="Default Paragraph Font"/>
    <w:uiPriority w:val="1"/>
    <w:semiHidden/>
    <w:unhideWhenUsed/>
  </w:style>
  <w:style w:type="numbering" w:styleId="1086" w:default="1">
    <w:name w:val="No List"/>
    <w:uiPriority w:val="99"/>
    <w:semiHidden/>
    <w:unhideWhenUsed/>
  </w:style>
  <w:style w:type="table" w:styleId="10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朱思薇</cp:lastModifiedBy>
  <cp:revision>6</cp:revision>
  <dcterms:created xsi:type="dcterms:W3CDTF">2021-10-31T09:06:00Z</dcterms:created>
  <dcterms:modified xsi:type="dcterms:W3CDTF">2025-10-10T06:29:13Z</dcterms:modified>
</cp:coreProperties>
</file>